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EEEF" w14:textId="77777777" w:rsidR="00713A19" w:rsidRPr="00013AE8" w:rsidRDefault="00713A19">
      <w:pPr>
        <w:pStyle w:val="BodyText2"/>
        <w:rPr>
          <w:rFonts w:ascii="Arial" w:hAnsi="Arial" w:cs="Arial"/>
        </w:rPr>
      </w:pPr>
    </w:p>
    <w:p w14:paraId="1B5D241D" w14:textId="77777777" w:rsidR="00713A19" w:rsidRPr="00013AE8" w:rsidRDefault="00713A19" w:rsidP="00713A19">
      <w:pPr>
        <w:rPr>
          <w:rFonts w:ascii="Arial" w:hAnsi="Arial" w:cs="Arial"/>
          <w:sz w:val="24"/>
          <w:szCs w:val="24"/>
        </w:rPr>
      </w:pPr>
    </w:p>
    <w:p w14:paraId="5F3F3C7B" w14:textId="77777777" w:rsidR="00713A19" w:rsidRPr="00013AE8" w:rsidRDefault="00713A19" w:rsidP="00713A19">
      <w:pPr>
        <w:rPr>
          <w:rFonts w:ascii="Arial" w:hAnsi="Arial" w:cs="Arial"/>
          <w:sz w:val="24"/>
          <w:szCs w:val="24"/>
        </w:rPr>
      </w:pPr>
    </w:p>
    <w:p w14:paraId="1800339F" w14:textId="77777777" w:rsidR="00713A19" w:rsidRPr="00013AE8" w:rsidRDefault="00713A19" w:rsidP="00713A19">
      <w:pPr>
        <w:rPr>
          <w:rFonts w:ascii="Arial" w:hAnsi="Arial" w:cs="Arial"/>
          <w:sz w:val="24"/>
          <w:szCs w:val="24"/>
        </w:rPr>
      </w:pPr>
    </w:p>
    <w:p w14:paraId="5AC914AE" w14:textId="77777777" w:rsidR="00713A19" w:rsidRPr="00013AE8" w:rsidRDefault="00713A19" w:rsidP="00713A19">
      <w:pPr>
        <w:rPr>
          <w:rFonts w:ascii="Arial" w:hAnsi="Arial" w:cs="Arial"/>
          <w:sz w:val="24"/>
          <w:szCs w:val="24"/>
        </w:rPr>
      </w:pPr>
      <w:r w:rsidRPr="00013AE8">
        <w:rPr>
          <w:rFonts w:ascii="Arial" w:hAnsi="Arial" w:cs="Arial"/>
          <w:sz w:val="24"/>
          <w:szCs w:val="24"/>
        </w:rPr>
        <w:t>Disclaimer</w:t>
      </w:r>
    </w:p>
    <w:p w14:paraId="6F2B40B5" w14:textId="77777777" w:rsidR="00713A19" w:rsidRPr="00013AE8" w:rsidRDefault="00713A19" w:rsidP="00713A19">
      <w:pPr>
        <w:rPr>
          <w:rFonts w:ascii="Arial" w:hAnsi="Arial" w:cs="Arial"/>
          <w:sz w:val="24"/>
          <w:szCs w:val="24"/>
        </w:rPr>
      </w:pPr>
    </w:p>
    <w:p w14:paraId="695E565D" w14:textId="77777777" w:rsidR="00713A19" w:rsidRPr="00013AE8" w:rsidRDefault="00713A19" w:rsidP="00713A19">
      <w:pPr>
        <w:rPr>
          <w:rFonts w:ascii="Arial" w:hAnsi="Arial" w:cs="Arial"/>
          <w:sz w:val="24"/>
          <w:szCs w:val="24"/>
        </w:rPr>
      </w:pPr>
      <w:r w:rsidRPr="00013AE8">
        <w:rPr>
          <w:rFonts w:ascii="Arial" w:hAnsi="Arial" w:cs="Arial"/>
          <w:sz w:val="24"/>
          <w:szCs w:val="24"/>
        </w:rPr>
        <w:t>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All implied warranties or conditions are expressly excluded to the fullest extent possible.</w:t>
      </w:r>
    </w:p>
    <w:p w14:paraId="63241C4D" w14:textId="77777777" w:rsidR="00363189" w:rsidRPr="00013AE8" w:rsidRDefault="00713A19">
      <w:pPr>
        <w:pStyle w:val="BodyText2"/>
        <w:rPr>
          <w:rFonts w:ascii="Arial" w:hAnsi="Arial" w:cs="Arial"/>
        </w:rPr>
      </w:pPr>
      <w:r w:rsidRPr="00013AE8">
        <w:rPr>
          <w:rFonts w:ascii="Arial" w:hAnsi="Arial" w:cs="Arial"/>
        </w:rPr>
        <w:br w:type="page"/>
      </w:r>
      <w:r w:rsidR="00363189" w:rsidRPr="00013AE8">
        <w:rPr>
          <w:rFonts w:ascii="Arial" w:hAnsi="Arial" w:cs="Arial"/>
        </w:rPr>
        <w:lastRenderedPageBreak/>
        <w:t>Joint Election under s431 ITEPA 2003 for full or partial disapplication of Chapter 2 Income Tax (Earnings and Pensions) Act 2003</w:t>
      </w:r>
    </w:p>
    <w:p w14:paraId="7B5EB319" w14:textId="77777777" w:rsidR="00363189" w:rsidRPr="00013AE8" w:rsidRDefault="00363189">
      <w:pPr>
        <w:rPr>
          <w:rFonts w:ascii="Arial" w:hAnsi="Arial" w:cs="Arial"/>
          <w:sz w:val="24"/>
        </w:rPr>
      </w:pPr>
    </w:p>
    <w:p w14:paraId="7B09D352" w14:textId="77777777" w:rsidR="00363189" w:rsidRPr="00013AE8" w:rsidRDefault="00363189">
      <w:pPr>
        <w:rPr>
          <w:rFonts w:ascii="Arial" w:hAnsi="Arial" w:cs="Arial"/>
          <w:b/>
          <w:sz w:val="24"/>
        </w:rPr>
      </w:pPr>
      <w:r w:rsidRPr="00013AE8">
        <w:rPr>
          <w:rFonts w:ascii="Arial" w:hAnsi="Arial" w:cs="Arial"/>
          <w:b/>
          <w:sz w:val="24"/>
        </w:rPr>
        <w:t>One Part Election</w:t>
      </w:r>
    </w:p>
    <w:p w14:paraId="42FCD9C4" w14:textId="77777777" w:rsidR="00363189" w:rsidRPr="00013AE8" w:rsidRDefault="00363189">
      <w:pPr>
        <w:rPr>
          <w:rFonts w:ascii="Arial" w:hAnsi="Arial" w:cs="Arial"/>
          <w:i/>
          <w:sz w:val="24"/>
        </w:rPr>
      </w:pPr>
    </w:p>
    <w:p w14:paraId="793AFA1C" w14:textId="77777777" w:rsidR="00363189" w:rsidRPr="00013AE8" w:rsidRDefault="00363189">
      <w:pPr>
        <w:numPr>
          <w:ilvl w:val="0"/>
          <w:numId w:val="1"/>
        </w:numPr>
        <w:rPr>
          <w:rFonts w:ascii="Arial" w:hAnsi="Arial" w:cs="Arial"/>
          <w:b/>
          <w:sz w:val="24"/>
        </w:rPr>
      </w:pPr>
      <w:r w:rsidRPr="00013AE8">
        <w:rPr>
          <w:rFonts w:ascii="Arial" w:hAnsi="Arial" w:cs="Arial"/>
          <w:b/>
          <w:sz w:val="24"/>
        </w:rPr>
        <w:t>Between</w:t>
      </w:r>
    </w:p>
    <w:p w14:paraId="6699F011" w14:textId="77777777" w:rsidR="00363189" w:rsidRPr="00013AE8" w:rsidRDefault="00363189">
      <w:pPr>
        <w:rPr>
          <w:rFonts w:ascii="Arial" w:hAnsi="Arial" w:cs="Arial"/>
          <w:sz w:val="24"/>
        </w:rPr>
      </w:pPr>
    </w:p>
    <w:p w14:paraId="3A9BAB98" w14:textId="77777777" w:rsidR="00363189" w:rsidRPr="00013AE8" w:rsidRDefault="00363189">
      <w:pPr>
        <w:spacing w:line="360" w:lineRule="auto"/>
        <w:rPr>
          <w:rFonts w:ascii="Arial" w:hAnsi="Arial" w:cs="Arial"/>
          <w:sz w:val="24"/>
        </w:rPr>
      </w:pPr>
      <w:r w:rsidRPr="00013AE8">
        <w:rPr>
          <w:rFonts w:ascii="Arial" w:hAnsi="Arial" w:cs="Arial"/>
          <w:sz w:val="24"/>
        </w:rPr>
        <w:t xml:space="preserve">the Employee </w:t>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00822A55" w:rsidRPr="00013AE8">
        <w:rPr>
          <w:rFonts w:ascii="Arial" w:hAnsi="Arial" w:cs="Arial"/>
          <w:i/>
          <w:sz w:val="24"/>
        </w:rPr>
        <w:t>[EMPLOYEE NAME]</w:t>
      </w:r>
    </w:p>
    <w:p w14:paraId="0112C3E2" w14:textId="77777777" w:rsidR="00363189" w:rsidRPr="00013AE8" w:rsidRDefault="00363189">
      <w:pPr>
        <w:spacing w:line="360" w:lineRule="auto"/>
        <w:rPr>
          <w:rFonts w:ascii="Arial" w:hAnsi="Arial" w:cs="Arial"/>
          <w:i/>
          <w:iCs/>
          <w:sz w:val="24"/>
        </w:rPr>
      </w:pPr>
      <w:r w:rsidRPr="00013AE8">
        <w:rPr>
          <w:rFonts w:ascii="Arial" w:hAnsi="Arial" w:cs="Arial"/>
          <w:sz w:val="24"/>
        </w:rPr>
        <w:t xml:space="preserve">whose National Insurance Number is </w:t>
      </w:r>
      <w:r w:rsidRPr="00013AE8">
        <w:rPr>
          <w:rFonts w:ascii="Arial" w:hAnsi="Arial" w:cs="Arial"/>
          <w:sz w:val="24"/>
        </w:rPr>
        <w:tab/>
      </w:r>
      <w:r w:rsidRPr="00013AE8">
        <w:rPr>
          <w:rFonts w:ascii="Arial" w:hAnsi="Arial" w:cs="Arial"/>
          <w:sz w:val="24"/>
        </w:rPr>
        <w:tab/>
      </w:r>
      <w:r w:rsidR="00822A55" w:rsidRPr="00013AE8">
        <w:rPr>
          <w:rFonts w:ascii="Arial" w:hAnsi="Arial" w:cs="Arial"/>
          <w:i/>
          <w:iCs/>
          <w:sz w:val="24"/>
        </w:rPr>
        <w:t>[EMPLOYEE NI NUMBER]</w:t>
      </w:r>
    </w:p>
    <w:p w14:paraId="47F16A86" w14:textId="77777777" w:rsidR="00363189" w:rsidRPr="00013AE8" w:rsidRDefault="00363189">
      <w:pPr>
        <w:spacing w:line="360" w:lineRule="auto"/>
        <w:rPr>
          <w:rFonts w:ascii="Arial" w:hAnsi="Arial" w:cs="Arial"/>
          <w:sz w:val="24"/>
        </w:rPr>
      </w:pPr>
      <w:r w:rsidRPr="00013AE8">
        <w:rPr>
          <w:rFonts w:ascii="Arial" w:hAnsi="Arial" w:cs="Arial"/>
          <w:sz w:val="24"/>
        </w:rPr>
        <w:t>and</w:t>
      </w:r>
    </w:p>
    <w:p w14:paraId="13908414" w14:textId="77777777" w:rsidR="00363189" w:rsidRPr="00013AE8" w:rsidRDefault="00363189">
      <w:pPr>
        <w:spacing w:line="360" w:lineRule="auto"/>
        <w:rPr>
          <w:rFonts w:ascii="Arial" w:hAnsi="Arial" w:cs="Arial"/>
          <w:sz w:val="24"/>
        </w:rPr>
      </w:pPr>
      <w:r w:rsidRPr="00013AE8">
        <w:rPr>
          <w:rFonts w:ascii="Arial" w:hAnsi="Arial" w:cs="Arial"/>
          <w:sz w:val="24"/>
        </w:rPr>
        <w:t xml:space="preserve">the Company (who is the Employee's employer) </w:t>
      </w:r>
      <w:r w:rsidRPr="00013AE8">
        <w:rPr>
          <w:rFonts w:ascii="Arial" w:hAnsi="Arial" w:cs="Arial"/>
          <w:sz w:val="24"/>
        </w:rPr>
        <w:tab/>
      </w:r>
      <w:r w:rsidR="00822A55" w:rsidRPr="00013AE8">
        <w:rPr>
          <w:rFonts w:ascii="Arial" w:hAnsi="Arial" w:cs="Arial"/>
          <w:i/>
          <w:sz w:val="24"/>
        </w:rPr>
        <w:t>[COMPANY NAME]</w:t>
      </w:r>
    </w:p>
    <w:p w14:paraId="2A27B9B3" w14:textId="77777777" w:rsidR="00363189" w:rsidRPr="00013AE8" w:rsidRDefault="00363189">
      <w:pPr>
        <w:spacing w:line="360" w:lineRule="auto"/>
        <w:rPr>
          <w:rFonts w:ascii="Arial" w:hAnsi="Arial" w:cs="Arial"/>
          <w:sz w:val="24"/>
        </w:rPr>
      </w:pPr>
      <w:r w:rsidRPr="00013AE8">
        <w:rPr>
          <w:rFonts w:ascii="Arial" w:hAnsi="Arial" w:cs="Arial"/>
          <w:sz w:val="24"/>
        </w:rPr>
        <w:t>of Company Registration Number</w:t>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00822A55" w:rsidRPr="00013AE8">
        <w:rPr>
          <w:rFonts w:ascii="Arial" w:hAnsi="Arial" w:cs="Arial"/>
          <w:i/>
          <w:sz w:val="24"/>
        </w:rPr>
        <w:t>[COMPANY NUMBER]</w:t>
      </w:r>
    </w:p>
    <w:p w14:paraId="510BD7FA" w14:textId="77777777" w:rsidR="00363189" w:rsidRPr="00013AE8" w:rsidRDefault="00363189">
      <w:pPr>
        <w:rPr>
          <w:rFonts w:ascii="Arial" w:hAnsi="Arial" w:cs="Arial"/>
          <w:sz w:val="24"/>
        </w:rPr>
      </w:pPr>
    </w:p>
    <w:p w14:paraId="4E696464" w14:textId="77777777" w:rsidR="00363189" w:rsidRPr="00013AE8" w:rsidRDefault="00363189">
      <w:pPr>
        <w:numPr>
          <w:ilvl w:val="0"/>
          <w:numId w:val="1"/>
        </w:numPr>
        <w:rPr>
          <w:rFonts w:ascii="Arial" w:hAnsi="Arial" w:cs="Arial"/>
          <w:b/>
          <w:sz w:val="24"/>
        </w:rPr>
      </w:pPr>
      <w:r w:rsidRPr="00013AE8">
        <w:rPr>
          <w:rFonts w:ascii="Arial" w:hAnsi="Arial" w:cs="Arial"/>
          <w:b/>
          <w:sz w:val="24"/>
        </w:rPr>
        <w:t>Purpose of Election</w:t>
      </w:r>
    </w:p>
    <w:p w14:paraId="3C3D309D" w14:textId="77777777" w:rsidR="00363189" w:rsidRPr="00013AE8" w:rsidRDefault="00363189">
      <w:pPr>
        <w:rPr>
          <w:rFonts w:ascii="Arial" w:hAnsi="Arial" w:cs="Arial"/>
          <w:sz w:val="24"/>
        </w:rPr>
      </w:pPr>
    </w:p>
    <w:p w14:paraId="127EBA2D" w14:textId="77777777" w:rsidR="00363189" w:rsidRPr="00013AE8" w:rsidRDefault="00363189">
      <w:pPr>
        <w:rPr>
          <w:rFonts w:ascii="Arial" w:hAnsi="Arial" w:cs="Arial"/>
          <w:sz w:val="24"/>
        </w:rPr>
      </w:pPr>
      <w:r w:rsidRPr="00013AE8">
        <w:rPr>
          <w:rFonts w:ascii="Arial" w:hAnsi="Arial" w:cs="Arial"/>
          <w:sz w:val="24"/>
        </w:rPr>
        <w:t>This joint election is made pursuant to section 431(1) or 431(2) Income Tax (Earnings and Pensions) Act 2003 (ITEPA) and applies where employment-related securities, which are restricted securities by reason of section 423 ITEPA, are acquired.</w:t>
      </w:r>
    </w:p>
    <w:p w14:paraId="22B8FA3C" w14:textId="77777777" w:rsidR="00363189" w:rsidRPr="00013AE8" w:rsidRDefault="00363189">
      <w:pPr>
        <w:rPr>
          <w:rFonts w:ascii="Arial" w:hAnsi="Arial" w:cs="Arial"/>
          <w:sz w:val="24"/>
        </w:rPr>
      </w:pPr>
    </w:p>
    <w:p w14:paraId="2D6497E1" w14:textId="77777777" w:rsidR="00363189" w:rsidRPr="00013AE8" w:rsidRDefault="00363189">
      <w:pPr>
        <w:rPr>
          <w:rFonts w:ascii="Arial" w:hAnsi="Arial" w:cs="Arial"/>
          <w:sz w:val="24"/>
        </w:rPr>
      </w:pPr>
      <w:r w:rsidRPr="00013AE8">
        <w:rPr>
          <w:rFonts w:ascii="Arial" w:hAnsi="Arial" w:cs="Arial"/>
          <w:sz w:val="24"/>
        </w:rPr>
        <w:t>The effect of an election under section 431(1) is that, for the relevant Income Tax and NIC purposes, the employment-related securities and their market value will be treated as if they were not restricted securities and that sections 425 to 430 ITEPA do not apply.  An election under section 431(2) will ignore one or more of the restrictions in computing the charge on acquisition.  Additional Income Tax will be payable (with PAYE and NIC where the securities are Readily Convertible Assets).</w:t>
      </w:r>
    </w:p>
    <w:p w14:paraId="0723628A" w14:textId="77777777" w:rsidR="00363189" w:rsidRPr="00013AE8" w:rsidRDefault="00363189">
      <w:pPr>
        <w:rPr>
          <w:rFonts w:ascii="Arial" w:hAnsi="Arial" w:cs="Arial"/>
          <w:b/>
          <w:sz w:val="24"/>
        </w:rPr>
      </w:pPr>
    </w:p>
    <w:p w14:paraId="73880CC4" w14:textId="77777777" w:rsidR="00363189" w:rsidRPr="00013AE8" w:rsidRDefault="00363189">
      <w:pPr>
        <w:pBdr>
          <w:top w:val="single" w:sz="4" w:space="1" w:color="auto"/>
          <w:left w:val="single" w:sz="4" w:space="4" w:color="auto"/>
          <w:bottom w:val="single" w:sz="4" w:space="4" w:color="auto"/>
          <w:right w:val="single" w:sz="4" w:space="4" w:color="auto"/>
        </w:pBdr>
        <w:rPr>
          <w:rFonts w:ascii="Arial" w:hAnsi="Arial" w:cs="Arial"/>
          <w:sz w:val="24"/>
        </w:rPr>
      </w:pPr>
      <w:r w:rsidRPr="00013AE8">
        <w:rPr>
          <w:rFonts w:ascii="Arial" w:hAnsi="Arial" w:cs="Arial"/>
          <w:b/>
          <w:sz w:val="24"/>
        </w:rPr>
        <w:t>Should the value of the securities fall following the acquisition, it is possible that Income Tax/NIC that would have arisen because of any future chargeable event (in the absence of an election) would have been less than the Income Tax/NIC due by reason of this election.  Should this be the case, there is no Income Tax/NIC relief available under Part 7 of ITEPA 2003; nor is it available if the securities acquired are subsequently transferred, forfeited or revert to the original owner.</w:t>
      </w:r>
    </w:p>
    <w:p w14:paraId="455EA3BA" w14:textId="77777777" w:rsidR="00363189" w:rsidRPr="00013AE8" w:rsidRDefault="00363189">
      <w:pPr>
        <w:rPr>
          <w:rFonts w:ascii="Arial" w:hAnsi="Arial" w:cs="Arial"/>
          <w:sz w:val="24"/>
        </w:rPr>
      </w:pPr>
    </w:p>
    <w:p w14:paraId="5ABBFF65" w14:textId="77777777" w:rsidR="00363189" w:rsidRPr="00013AE8" w:rsidRDefault="00363189">
      <w:pPr>
        <w:numPr>
          <w:ilvl w:val="0"/>
          <w:numId w:val="1"/>
        </w:numPr>
        <w:rPr>
          <w:rFonts w:ascii="Arial" w:hAnsi="Arial" w:cs="Arial"/>
          <w:b/>
          <w:sz w:val="24"/>
        </w:rPr>
      </w:pPr>
      <w:r w:rsidRPr="00013AE8">
        <w:rPr>
          <w:rFonts w:ascii="Arial" w:hAnsi="Arial" w:cs="Arial"/>
          <w:b/>
          <w:sz w:val="24"/>
        </w:rPr>
        <w:t>Application</w:t>
      </w:r>
    </w:p>
    <w:p w14:paraId="7941A3F3" w14:textId="77777777" w:rsidR="00363189" w:rsidRPr="00013AE8" w:rsidRDefault="00363189">
      <w:pPr>
        <w:rPr>
          <w:rFonts w:ascii="Arial" w:hAnsi="Arial" w:cs="Arial"/>
          <w:b/>
          <w:sz w:val="24"/>
        </w:rPr>
      </w:pPr>
    </w:p>
    <w:p w14:paraId="663B8E72" w14:textId="77777777" w:rsidR="00363189" w:rsidRPr="00013AE8" w:rsidRDefault="00363189">
      <w:pPr>
        <w:rPr>
          <w:rFonts w:ascii="Arial" w:hAnsi="Arial" w:cs="Arial"/>
          <w:sz w:val="24"/>
        </w:rPr>
      </w:pPr>
      <w:r w:rsidRPr="00013AE8">
        <w:rPr>
          <w:rFonts w:ascii="Arial" w:hAnsi="Arial" w:cs="Arial"/>
          <w:sz w:val="24"/>
        </w:rPr>
        <w:t>This joint election is made not later than 14 days after the date of acquisition of the securities by the employee and applies to:</w:t>
      </w:r>
    </w:p>
    <w:p w14:paraId="15D49E48" w14:textId="77777777" w:rsidR="00363189" w:rsidRPr="00013AE8" w:rsidRDefault="00363189">
      <w:pPr>
        <w:rPr>
          <w:rFonts w:ascii="Arial" w:hAnsi="Arial" w:cs="Arial"/>
          <w:sz w:val="24"/>
        </w:rPr>
      </w:pPr>
    </w:p>
    <w:p w14:paraId="18C8F518" w14:textId="77777777" w:rsidR="00363189" w:rsidRPr="00013AE8" w:rsidRDefault="00363189">
      <w:pPr>
        <w:spacing w:line="360" w:lineRule="auto"/>
        <w:rPr>
          <w:rFonts w:ascii="Arial" w:hAnsi="Arial" w:cs="Arial"/>
          <w:sz w:val="24"/>
        </w:rPr>
      </w:pPr>
      <w:r w:rsidRPr="00013AE8">
        <w:rPr>
          <w:rFonts w:ascii="Arial" w:hAnsi="Arial" w:cs="Arial"/>
          <w:sz w:val="24"/>
        </w:rPr>
        <w:t>Number of securities</w:t>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00822A55" w:rsidRPr="00013AE8">
        <w:rPr>
          <w:rFonts w:ascii="Arial" w:hAnsi="Arial" w:cs="Arial"/>
          <w:i/>
          <w:sz w:val="24"/>
        </w:rPr>
        <w:t>[NUMBER OF SHARES]</w:t>
      </w:r>
    </w:p>
    <w:p w14:paraId="706F5163" w14:textId="77777777" w:rsidR="00363189" w:rsidRPr="00013AE8" w:rsidRDefault="00363189" w:rsidP="00822A55">
      <w:pPr>
        <w:spacing w:line="360" w:lineRule="auto"/>
        <w:ind w:left="5040" w:hanging="5040"/>
        <w:rPr>
          <w:rFonts w:ascii="Arial" w:hAnsi="Arial" w:cs="Arial"/>
          <w:sz w:val="24"/>
        </w:rPr>
      </w:pPr>
      <w:r w:rsidRPr="00013AE8">
        <w:rPr>
          <w:rFonts w:ascii="Arial" w:hAnsi="Arial" w:cs="Arial"/>
          <w:sz w:val="24"/>
        </w:rPr>
        <w:t>Description of securities</w:t>
      </w:r>
      <w:r w:rsidRPr="00013AE8">
        <w:rPr>
          <w:rFonts w:ascii="Arial" w:hAnsi="Arial" w:cs="Arial"/>
          <w:sz w:val="24"/>
        </w:rPr>
        <w:tab/>
      </w:r>
      <w:r w:rsidR="00822A55" w:rsidRPr="00013AE8">
        <w:rPr>
          <w:rFonts w:ascii="Arial" w:hAnsi="Arial" w:cs="Arial"/>
          <w:i/>
          <w:sz w:val="24"/>
        </w:rPr>
        <w:t>[CLASS OF SHARE]</w:t>
      </w:r>
      <w:r w:rsidR="00A11327" w:rsidRPr="00013AE8">
        <w:rPr>
          <w:rFonts w:ascii="Arial" w:hAnsi="Arial" w:cs="Arial"/>
          <w:i/>
          <w:sz w:val="24"/>
        </w:rPr>
        <w:t xml:space="preserve"> of</w:t>
      </w:r>
      <w:r w:rsidR="00822A55" w:rsidRPr="00013AE8">
        <w:rPr>
          <w:rFonts w:ascii="Arial" w:hAnsi="Arial" w:cs="Arial"/>
          <w:i/>
          <w:sz w:val="24"/>
        </w:rPr>
        <w:t xml:space="preserve"> £[NOMINAL VALUE]</w:t>
      </w:r>
    </w:p>
    <w:p w14:paraId="79924197" w14:textId="77777777" w:rsidR="00363189" w:rsidRPr="00013AE8" w:rsidRDefault="00363189">
      <w:pPr>
        <w:spacing w:line="360" w:lineRule="auto"/>
        <w:rPr>
          <w:rFonts w:ascii="Arial" w:hAnsi="Arial" w:cs="Arial"/>
          <w:sz w:val="24"/>
        </w:rPr>
      </w:pPr>
      <w:r w:rsidRPr="00013AE8">
        <w:rPr>
          <w:rFonts w:ascii="Arial" w:hAnsi="Arial" w:cs="Arial"/>
          <w:sz w:val="24"/>
        </w:rPr>
        <w:t>Name of issuer of securities</w:t>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Pr="00013AE8">
        <w:rPr>
          <w:rFonts w:ascii="Arial" w:hAnsi="Arial" w:cs="Arial"/>
          <w:sz w:val="24"/>
        </w:rPr>
        <w:tab/>
      </w:r>
      <w:r w:rsidR="00A11327" w:rsidRPr="00013AE8">
        <w:rPr>
          <w:rFonts w:ascii="Arial" w:hAnsi="Arial" w:cs="Arial"/>
          <w:i/>
          <w:sz w:val="24"/>
        </w:rPr>
        <w:t>the Company</w:t>
      </w:r>
    </w:p>
    <w:p w14:paraId="7AEB3D28" w14:textId="77777777" w:rsidR="00363189" w:rsidRPr="00013AE8" w:rsidRDefault="00A11327">
      <w:pPr>
        <w:spacing w:line="360" w:lineRule="auto"/>
        <w:rPr>
          <w:rFonts w:ascii="Arial" w:hAnsi="Arial" w:cs="Arial"/>
          <w:i/>
          <w:iCs/>
          <w:sz w:val="24"/>
        </w:rPr>
      </w:pPr>
      <w:r w:rsidRPr="00013AE8">
        <w:rPr>
          <w:rFonts w:ascii="Arial" w:hAnsi="Arial" w:cs="Arial"/>
          <w:sz w:val="24"/>
        </w:rPr>
        <w:t>A</w:t>
      </w:r>
      <w:r w:rsidR="00363189" w:rsidRPr="00013AE8">
        <w:rPr>
          <w:rFonts w:ascii="Arial" w:hAnsi="Arial" w:cs="Arial"/>
          <w:sz w:val="24"/>
        </w:rPr>
        <w:t xml:space="preserve">cquired by the Employee on </w:t>
      </w:r>
      <w:r w:rsidR="00363189" w:rsidRPr="00013AE8">
        <w:rPr>
          <w:rFonts w:ascii="Arial" w:hAnsi="Arial" w:cs="Arial"/>
          <w:sz w:val="24"/>
        </w:rPr>
        <w:tab/>
      </w:r>
      <w:r w:rsidR="00363189" w:rsidRPr="00013AE8">
        <w:rPr>
          <w:rFonts w:ascii="Arial" w:hAnsi="Arial" w:cs="Arial"/>
          <w:sz w:val="24"/>
        </w:rPr>
        <w:tab/>
      </w:r>
      <w:r w:rsidR="00363189" w:rsidRPr="00013AE8">
        <w:rPr>
          <w:rFonts w:ascii="Arial" w:hAnsi="Arial" w:cs="Arial"/>
          <w:sz w:val="24"/>
        </w:rPr>
        <w:tab/>
      </w:r>
      <w:r w:rsidR="00822A55" w:rsidRPr="00013AE8">
        <w:rPr>
          <w:rFonts w:ascii="Arial" w:hAnsi="Arial" w:cs="Arial"/>
          <w:i/>
          <w:iCs/>
          <w:sz w:val="24"/>
        </w:rPr>
        <w:t>[DATE OF ISSUE OF SHARES]</w:t>
      </w:r>
    </w:p>
    <w:p w14:paraId="2D9618C0" w14:textId="77777777" w:rsidR="00363189" w:rsidRPr="00013AE8" w:rsidRDefault="00363189">
      <w:pPr>
        <w:rPr>
          <w:rFonts w:ascii="Arial" w:hAnsi="Arial" w:cs="Arial"/>
          <w:sz w:val="24"/>
        </w:rPr>
      </w:pPr>
    </w:p>
    <w:p w14:paraId="724042E8" w14:textId="77777777" w:rsidR="00363189" w:rsidRPr="00013AE8" w:rsidRDefault="00363189">
      <w:pPr>
        <w:rPr>
          <w:rFonts w:ascii="Arial" w:hAnsi="Arial" w:cs="Arial"/>
          <w:sz w:val="24"/>
        </w:rPr>
      </w:pPr>
      <w:r w:rsidRPr="00013AE8">
        <w:rPr>
          <w:rFonts w:ascii="Arial" w:hAnsi="Arial" w:cs="Arial"/>
          <w:sz w:val="24"/>
        </w:rPr>
        <w:br w:type="page"/>
      </w:r>
    </w:p>
    <w:p w14:paraId="2653B139" w14:textId="77777777" w:rsidR="00363189" w:rsidRPr="00013AE8" w:rsidRDefault="00363189">
      <w:pPr>
        <w:numPr>
          <w:ilvl w:val="0"/>
          <w:numId w:val="1"/>
        </w:numPr>
        <w:rPr>
          <w:rFonts w:ascii="Arial" w:hAnsi="Arial" w:cs="Arial"/>
          <w:b/>
          <w:sz w:val="24"/>
        </w:rPr>
      </w:pPr>
      <w:r w:rsidRPr="00013AE8">
        <w:rPr>
          <w:rFonts w:ascii="Arial" w:hAnsi="Arial" w:cs="Arial"/>
          <w:b/>
          <w:sz w:val="24"/>
        </w:rPr>
        <w:t>Extent of Application</w:t>
      </w:r>
    </w:p>
    <w:p w14:paraId="73C2A3C2" w14:textId="77777777" w:rsidR="00363189" w:rsidRPr="00013AE8" w:rsidRDefault="00363189">
      <w:pPr>
        <w:rPr>
          <w:rFonts w:ascii="Arial" w:hAnsi="Arial" w:cs="Arial"/>
          <w:sz w:val="24"/>
        </w:rPr>
      </w:pPr>
    </w:p>
    <w:p w14:paraId="0D113155" w14:textId="77777777" w:rsidR="00363189" w:rsidRPr="00013AE8" w:rsidRDefault="00363189" w:rsidP="00A11327">
      <w:pPr>
        <w:rPr>
          <w:rFonts w:ascii="Arial" w:hAnsi="Arial" w:cs="Arial"/>
          <w:i/>
          <w:sz w:val="24"/>
        </w:rPr>
      </w:pPr>
      <w:r w:rsidRPr="00013AE8">
        <w:rPr>
          <w:rFonts w:ascii="Arial" w:hAnsi="Arial" w:cs="Arial"/>
          <w:sz w:val="24"/>
        </w:rPr>
        <w:t xml:space="preserve">This election disapplies </w:t>
      </w:r>
      <w:r w:rsidR="00A11327" w:rsidRPr="00013AE8">
        <w:rPr>
          <w:rFonts w:ascii="Arial" w:hAnsi="Arial" w:cs="Arial"/>
          <w:sz w:val="24"/>
        </w:rPr>
        <w:t>s</w:t>
      </w:r>
      <w:r w:rsidRPr="00013AE8">
        <w:rPr>
          <w:rFonts w:ascii="Arial" w:hAnsi="Arial" w:cs="Arial"/>
          <w:sz w:val="24"/>
        </w:rPr>
        <w:t>.431(1) ITEPA: All restrictions attaching to the securities</w:t>
      </w:r>
      <w:r w:rsidR="00A11327" w:rsidRPr="00013AE8">
        <w:rPr>
          <w:rFonts w:ascii="Arial" w:hAnsi="Arial" w:cs="Arial"/>
          <w:sz w:val="24"/>
        </w:rPr>
        <w:t>.</w:t>
      </w:r>
    </w:p>
    <w:p w14:paraId="679E3410" w14:textId="77777777" w:rsidR="00363189" w:rsidRPr="00013AE8" w:rsidRDefault="00363189">
      <w:pPr>
        <w:rPr>
          <w:rFonts w:ascii="Arial" w:hAnsi="Arial" w:cs="Arial"/>
          <w:sz w:val="24"/>
        </w:rPr>
      </w:pPr>
    </w:p>
    <w:p w14:paraId="3B402DC4" w14:textId="77777777" w:rsidR="00363189" w:rsidRPr="00013AE8" w:rsidRDefault="00363189">
      <w:pPr>
        <w:numPr>
          <w:ilvl w:val="0"/>
          <w:numId w:val="1"/>
        </w:numPr>
        <w:rPr>
          <w:rFonts w:ascii="Arial" w:hAnsi="Arial" w:cs="Arial"/>
          <w:b/>
          <w:sz w:val="24"/>
        </w:rPr>
      </w:pPr>
      <w:r w:rsidRPr="00013AE8">
        <w:rPr>
          <w:rFonts w:ascii="Arial" w:hAnsi="Arial" w:cs="Arial"/>
          <w:b/>
          <w:sz w:val="24"/>
        </w:rPr>
        <w:t>Declaration</w:t>
      </w:r>
    </w:p>
    <w:p w14:paraId="28289DE2" w14:textId="77777777" w:rsidR="00363189" w:rsidRPr="00013AE8" w:rsidRDefault="00363189">
      <w:pPr>
        <w:rPr>
          <w:rFonts w:ascii="Arial" w:hAnsi="Arial" w:cs="Arial"/>
          <w:sz w:val="24"/>
        </w:rPr>
      </w:pPr>
    </w:p>
    <w:p w14:paraId="393DAD3C" w14:textId="77777777" w:rsidR="00363189" w:rsidRPr="00013AE8" w:rsidRDefault="00363189">
      <w:pPr>
        <w:rPr>
          <w:rFonts w:ascii="Arial" w:hAnsi="Arial" w:cs="Arial"/>
          <w:sz w:val="24"/>
        </w:rPr>
      </w:pPr>
      <w:r w:rsidRPr="00013AE8">
        <w:rPr>
          <w:rFonts w:ascii="Arial" w:hAnsi="Arial" w:cs="Arial"/>
          <w:sz w:val="24"/>
        </w:rPr>
        <w:t>This election will become irrevocable upon the later of its signing or the acquisition of employment-related securities to which this election applies.</w:t>
      </w:r>
    </w:p>
    <w:p w14:paraId="0E2BB13D" w14:textId="77777777" w:rsidR="00363189" w:rsidRPr="00013AE8" w:rsidRDefault="00363189">
      <w:pPr>
        <w:rPr>
          <w:rFonts w:ascii="Arial" w:hAnsi="Arial" w:cs="Arial"/>
          <w:sz w:val="24"/>
        </w:rPr>
      </w:pPr>
    </w:p>
    <w:p w14:paraId="3D3B2DDA" w14:textId="77777777" w:rsidR="00363189" w:rsidRPr="00013AE8" w:rsidRDefault="00363189">
      <w:pPr>
        <w:rPr>
          <w:rFonts w:ascii="Arial" w:hAnsi="Arial" w:cs="Arial"/>
          <w:sz w:val="24"/>
        </w:rPr>
      </w:pPr>
      <w:r w:rsidRPr="00013AE8">
        <w:rPr>
          <w:rFonts w:ascii="Arial" w:hAnsi="Arial" w:cs="Arial"/>
          <w:sz w:val="24"/>
        </w:rPr>
        <w:t>In signing this joint election, we agree to be bound by its terms as stated above.</w:t>
      </w:r>
    </w:p>
    <w:p w14:paraId="225AE2FB" w14:textId="77777777" w:rsidR="00363189" w:rsidRPr="00013AE8" w:rsidRDefault="00363189">
      <w:pPr>
        <w:rPr>
          <w:rFonts w:ascii="Arial" w:hAnsi="Arial" w:cs="Arial"/>
          <w:sz w:val="24"/>
        </w:rPr>
      </w:pPr>
    </w:p>
    <w:p w14:paraId="13C28869" w14:textId="77777777" w:rsidR="00363189" w:rsidRPr="00013AE8" w:rsidRDefault="00363189">
      <w:pPr>
        <w:rPr>
          <w:rFonts w:ascii="Arial" w:hAnsi="Arial" w:cs="Arial"/>
          <w:sz w:val="24"/>
        </w:rPr>
      </w:pPr>
    </w:p>
    <w:p w14:paraId="28F7D3BA" w14:textId="77777777" w:rsidR="00363189" w:rsidRPr="00013AE8" w:rsidRDefault="00363189">
      <w:pPr>
        <w:rPr>
          <w:rFonts w:ascii="Arial" w:hAnsi="Arial" w:cs="Arial"/>
          <w:sz w:val="24"/>
        </w:rPr>
      </w:pPr>
    </w:p>
    <w:p w14:paraId="46824729" w14:textId="77777777" w:rsidR="00363189" w:rsidRPr="00013AE8" w:rsidRDefault="00363189">
      <w:pPr>
        <w:rPr>
          <w:rFonts w:ascii="Arial" w:hAnsi="Arial" w:cs="Arial"/>
          <w:sz w:val="24"/>
        </w:rPr>
      </w:pPr>
      <w:r w:rsidRPr="00013AE8">
        <w:rPr>
          <w:rFonts w:ascii="Arial" w:hAnsi="Arial" w:cs="Arial"/>
          <w:sz w:val="24"/>
        </w:rPr>
        <w:t>………………………………………..               ….….……….</w:t>
      </w:r>
    </w:p>
    <w:p w14:paraId="0EF0B967" w14:textId="77777777" w:rsidR="00363189" w:rsidRPr="00013AE8" w:rsidRDefault="00363189">
      <w:pPr>
        <w:rPr>
          <w:rFonts w:ascii="Arial" w:hAnsi="Arial" w:cs="Arial"/>
          <w:sz w:val="24"/>
        </w:rPr>
      </w:pPr>
      <w:r w:rsidRPr="00013AE8">
        <w:rPr>
          <w:rFonts w:ascii="Arial" w:hAnsi="Arial" w:cs="Arial"/>
          <w:sz w:val="24"/>
        </w:rPr>
        <w:t>Signature   (Employee)                                               Date</w:t>
      </w:r>
    </w:p>
    <w:p w14:paraId="44055F29" w14:textId="77777777" w:rsidR="00363189" w:rsidRPr="00013AE8" w:rsidRDefault="00363189">
      <w:pPr>
        <w:rPr>
          <w:rFonts w:ascii="Arial" w:hAnsi="Arial" w:cs="Arial"/>
          <w:sz w:val="24"/>
        </w:rPr>
      </w:pPr>
    </w:p>
    <w:p w14:paraId="1D209152" w14:textId="77777777" w:rsidR="00363189" w:rsidRPr="00013AE8" w:rsidRDefault="00363189">
      <w:pPr>
        <w:rPr>
          <w:rFonts w:ascii="Arial" w:hAnsi="Arial" w:cs="Arial"/>
          <w:sz w:val="24"/>
        </w:rPr>
      </w:pPr>
    </w:p>
    <w:p w14:paraId="0573C013" w14:textId="77777777" w:rsidR="00363189" w:rsidRPr="00013AE8" w:rsidRDefault="00363189">
      <w:pPr>
        <w:rPr>
          <w:rFonts w:ascii="Arial" w:hAnsi="Arial" w:cs="Arial"/>
          <w:sz w:val="24"/>
        </w:rPr>
      </w:pPr>
    </w:p>
    <w:p w14:paraId="449C3EBE" w14:textId="77777777" w:rsidR="00363189" w:rsidRPr="00013AE8" w:rsidRDefault="00363189">
      <w:pPr>
        <w:rPr>
          <w:rFonts w:ascii="Arial" w:hAnsi="Arial" w:cs="Arial"/>
          <w:sz w:val="24"/>
        </w:rPr>
      </w:pPr>
      <w:r w:rsidRPr="00013AE8">
        <w:rPr>
          <w:rFonts w:ascii="Arial" w:hAnsi="Arial" w:cs="Arial"/>
          <w:sz w:val="24"/>
        </w:rPr>
        <w:t xml:space="preserve">……………………………………….                ….…..……… </w:t>
      </w:r>
    </w:p>
    <w:p w14:paraId="391FCE73" w14:textId="77777777" w:rsidR="00363189" w:rsidRPr="00013AE8" w:rsidRDefault="00363189">
      <w:pPr>
        <w:pStyle w:val="Heading1"/>
        <w:rPr>
          <w:rFonts w:ascii="Arial" w:hAnsi="Arial" w:cs="Arial"/>
        </w:rPr>
      </w:pPr>
      <w:r w:rsidRPr="00013AE8">
        <w:rPr>
          <w:rFonts w:ascii="Arial" w:hAnsi="Arial" w:cs="Arial"/>
        </w:rPr>
        <w:t>Signature (for and on behalf of the Company)            Date</w:t>
      </w:r>
    </w:p>
    <w:p w14:paraId="143FD9F0" w14:textId="77777777" w:rsidR="00363189" w:rsidRPr="00013AE8" w:rsidRDefault="00363189">
      <w:pPr>
        <w:rPr>
          <w:rFonts w:ascii="Arial" w:hAnsi="Arial" w:cs="Arial"/>
          <w:i/>
          <w:sz w:val="24"/>
        </w:rPr>
      </w:pPr>
    </w:p>
    <w:p w14:paraId="70987C97" w14:textId="77777777" w:rsidR="00363189" w:rsidRPr="00013AE8" w:rsidRDefault="00363189">
      <w:pPr>
        <w:rPr>
          <w:rFonts w:ascii="Arial" w:hAnsi="Arial" w:cs="Arial"/>
          <w:i/>
          <w:sz w:val="24"/>
        </w:rPr>
      </w:pPr>
    </w:p>
    <w:p w14:paraId="24F093BC" w14:textId="77777777" w:rsidR="00363189" w:rsidRPr="00013AE8" w:rsidRDefault="00363189">
      <w:pPr>
        <w:rPr>
          <w:rFonts w:ascii="Arial" w:hAnsi="Arial" w:cs="Arial"/>
          <w:sz w:val="24"/>
        </w:rPr>
      </w:pPr>
    </w:p>
    <w:p w14:paraId="3C6055E9" w14:textId="77777777" w:rsidR="00363189" w:rsidRPr="00013AE8" w:rsidRDefault="00363189">
      <w:pPr>
        <w:rPr>
          <w:rFonts w:ascii="Arial" w:hAnsi="Arial" w:cs="Arial"/>
          <w:sz w:val="24"/>
        </w:rPr>
      </w:pPr>
      <w:r w:rsidRPr="00013AE8">
        <w:rPr>
          <w:rFonts w:ascii="Arial" w:hAnsi="Arial" w:cs="Arial"/>
          <w:sz w:val="24"/>
        </w:rPr>
        <w:t>………………………….………………</w:t>
      </w:r>
    </w:p>
    <w:p w14:paraId="56CC917A" w14:textId="77777777" w:rsidR="00363189" w:rsidRPr="00013AE8" w:rsidRDefault="00363189">
      <w:pPr>
        <w:rPr>
          <w:rFonts w:ascii="Arial" w:hAnsi="Arial" w:cs="Arial"/>
          <w:sz w:val="24"/>
        </w:rPr>
      </w:pPr>
      <w:r w:rsidRPr="00013AE8">
        <w:rPr>
          <w:rFonts w:ascii="Arial" w:hAnsi="Arial" w:cs="Arial"/>
          <w:sz w:val="24"/>
        </w:rPr>
        <w:t>Position in company</w:t>
      </w:r>
    </w:p>
    <w:p w14:paraId="00F5DA41" w14:textId="77777777" w:rsidR="00363189" w:rsidRPr="00013AE8" w:rsidRDefault="00363189">
      <w:pPr>
        <w:rPr>
          <w:rFonts w:ascii="Arial" w:hAnsi="Arial" w:cs="Arial"/>
          <w:sz w:val="24"/>
        </w:rPr>
      </w:pPr>
    </w:p>
    <w:p w14:paraId="72C2966C" w14:textId="77777777" w:rsidR="00363189" w:rsidRPr="00013AE8" w:rsidRDefault="00363189">
      <w:pPr>
        <w:rPr>
          <w:rFonts w:ascii="Arial" w:hAnsi="Arial" w:cs="Arial"/>
          <w:sz w:val="24"/>
        </w:rPr>
      </w:pPr>
    </w:p>
    <w:p w14:paraId="2E11B0E3" w14:textId="77777777" w:rsidR="00363189" w:rsidRPr="00013AE8" w:rsidRDefault="00363189">
      <w:pPr>
        <w:rPr>
          <w:rFonts w:ascii="Arial" w:hAnsi="Arial" w:cs="Arial"/>
        </w:rPr>
      </w:pPr>
    </w:p>
    <w:sectPr w:rsidR="00363189" w:rsidRPr="00013AE8" w:rsidSect="005D6BFC">
      <w:headerReference w:type="default" r:id="rId7"/>
      <w:headerReference w:type="first" r:id="rId8"/>
      <w:pgSz w:w="11909" w:h="16834" w:code="9"/>
      <w:pgMar w:top="1134" w:right="1440" w:bottom="72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9E53C" w14:textId="77777777" w:rsidR="00622B7E" w:rsidRDefault="00622B7E" w:rsidP="009174F0">
      <w:r>
        <w:separator/>
      </w:r>
    </w:p>
  </w:endnote>
  <w:endnote w:type="continuationSeparator" w:id="0">
    <w:p w14:paraId="50DE20AE" w14:textId="77777777" w:rsidR="00622B7E" w:rsidRDefault="00622B7E" w:rsidP="0091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B905" w14:textId="77777777" w:rsidR="00622B7E" w:rsidRDefault="00622B7E" w:rsidP="009174F0">
      <w:r>
        <w:separator/>
      </w:r>
    </w:p>
  </w:footnote>
  <w:footnote w:type="continuationSeparator" w:id="0">
    <w:p w14:paraId="1BADA552" w14:textId="77777777" w:rsidR="00622B7E" w:rsidRDefault="00622B7E" w:rsidP="00917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C885" w14:textId="77777777" w:rsidR="00713A19" w:rsidRDefault="00713A19" w:rsidP="00713A19">
    <w:pPr>
      <w:pStyle w:val="Header"/>
      <w:tabs>
        <w:tab w:val="clear" w:pos="4513"/>
        <w:tab w:val="clear" w:pos="9026"/>
        <w:tab w:val="left" w:pos="3570"/>
      </w:tabs>
    </w:pPr>
  </w:p>
  <w:p w14:paraId="73C9527B" w14:textId="77777777" w:rsidR="009174F0" w:rsidRDefault="00917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57BA" w14:textId="2B99611A" w:rsidR="005D6BFC" w:rsidRDefault="00013AE8">
    <w:pPr>
      <w:pStyle w:val="Header"/>
    </w:pPr>
    <w:r>
      <w:rPr>
        <w:noProof/>
      </w:rPr>
      <w:pict w14:anchorId="7636B3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342.1pt;margin-top:-7.8pt;width:123.6pt;height:26.65pt;z-index:-251657216;visibility:visible;mso-wrap-style:square;mso-wrap-distance-left:9pt;mso-wrap-distance-top:0;mso-wrap-distance-right:9pt;mso-wrap-distance-bottom:0;mso-position-horizontal-relative:margin;mso-position-vertical-relative:text">
          <v:imagedata r:id="rId1" o:title=""/>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0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B612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3934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044F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676929"/>
    <w:multiLevelType w:val="hybridMultilevel"/>
    <w:tmpl w:val="17E632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3503D4"/>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7A5309E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81387546">
    <w:abstractNumId w:val="5"/>
  </w:num>
  <w:num w:numId="2" w16cid:durableId="1330909790">
    <w:abstractNumId w:val="3"/>
  </w:num>
  <w:num w:numId="3" w16cid:durableId="1491872146">
    <w:abstractNumId w:val="0"/>
  </w:num>
  <w:num w:numId="4" w16cid:durableId="179466565">
    <w:abstractNumId w:val="1"/>
  </w:num>
  <w:num w:numId="5" w16cid:durableId="996687742">
    <w:abstractNumId w:val="2"/>
  </w:num>
  <w:num w:numId="6" w16cid:durableId="2123916083">
    <w:abstractNumId w:val="6"/>
  </w:num>
  <w:num w:numId="7" w16cid:durableId="183036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4F0"/>
    <w:rsid w:val="00013AE8"/>
    <w:rsid w:val="0004093E"/>
    <w:rsid w:val="00363189"/>
    <w:rsid w:val="005D6BFC"/>
    <w:rsid w:val="005F5FD0"/>
    <w:rsid w:val="00622B7E"/>
    <w:rsid w:val="00713A19"/>
    <w:rsid w:val="00822A55"/>
    <w:rsid w:val="009174F0"/>
    <w:rsid w:val="00931B5F"/>
    <w:rsid w:val="00A11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39FC0F3"/>
  <w15:chartTrackingRefBased/>
  <w15:docId w15:val="{7536DE24-9B46-4DB3-8867-957D7D47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rPr>
      <w:i/>
      <w:sz w:val="24"/>
    </w:rPr>
  </w:style>
  <w:style w:type="paragraph" w:styleId="BodyText2">
    <w:name w:val="Body Text 2"/>
    <w:basedOn w:val="Normal"/>
    <w:semiHidden/>
    <w:rPr>
      <w:b/>
      <w:sz w:val="28"/>
    </w:rPr>
  </w:style>
  <w:style w:type="paragraph" w:styleId="Header">
    <w:name w:val="header"/>
    <w:basedOn w:val="Normal"/>
    <w:link w:val="HeaderChar"/>
    <w:uiPriority w:val="99"/>
    <w:unhideWhenUsed/>
    <w:rsid w:val="009174F0"/>
    <w:pPr>
      <w:tabs>
        <w:tab w:val="center" w:pos="4513"/>
        <w:tab w:val="right" w:pos="9026"/>
      </w:tabs>
    </w:pPr>
  </w:style>
  <w:style w:type="character" w:customStyle="1" w:styleId="HeaderChar">
    <w:name w:val="Header Char"/>
    <w:basedOn w:val="DefaultParagraphFont"/>
    <w:link w:val="Header"/>
    <w:uiPriority w:val="99"/>
    <w:rsid w:val="009174F0"/>
  </w:style>
  <w:style w:type="paragraph" w:styleId="Footer">
    <w:name w:val="footer"/>
    <w:basedOn w:val="Normal"/>
    <w:link w:val="FooterChar"/>
    <w:uiPriority w:val="99"/>
    <w:unhideWhenUsed/>
    <w:rsid w:val="009174F0"/>
    <w:pPr>
      <w:tabs>
        <w:tab w:val="center" w:pos="4513"/>
        <w:tab w:val="right" w:pos="9026"/>
      </w:tabs>
    </w:pPr>
  </w:style>
  <w:style w:type="character" w:customStyle="1" w:styleId="FooterChar">
    <w:name w:val="Footer Char"/>
    <w:basedOn w:val="DefaultParagraphFont"/>
    <w:link w:val="Footer"/>
    <w:uiPriority w:val="99"/>
    <w:rsid w:val="00917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Joint Election to accept charge upon acquisition of securities that may be subject to transfer, reversion or forfeiture</vt:lpstr>
    </vt:vector>
  </TitlesOfParts>
  <Company>Inland Revenue</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Election to accept charge upon acquisition of securities that may be subject to transfer, reversion or forfeiture</dc:title>
  <dc:subject/>
  <dc:creator>Prothero</dc:creator>
  <cp:keywords/>
  <dc:description/>
  <cp:lastModifiedBy>McHaffie, Declan</cp:lastModifiedBy>
  <cp:revision>2</cp:revision>
  <cp:lastPrinted>2003-07-21T10:21:00Z</cp:lastPrinted>
  <dcterms:created xsi:type="dcterms:W3CDTF">2023-04-18T10:04:00Z</dcterms:created>
  <dcterms:modified xsi:type="dcterms:W3CDTF">2023-04-18T10:04:00Z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30728410.1</vt:lpwstr>
  </property>
</Properties>
</file>