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0622C" w14:textId="77777777" w:rsidR="001E6B9B" w:rsidRPr="001608F0" w:rsidRDefault="001E6B9B">
      <w:pPr>
        <w:rPr>
          <w:rFonts w:ascii="Arial" w:hAnsi="Arial" w:cs="Arial"/>
          <w:sz w:val="20"/>
          <w:szCs w:val="20"/>
        </w:rPr>
      </w:pPr>
    </w:p>
    <w:p w14:paraId="74B47AA1" w14:textId="625315DD" w:rsidR="00E93DA4" w:rsidRPr="001608F0" w:rsidRDefault="003A0A8A">
      <w:pPr>
        <w:rPr>
          <w:rFonts w:ascii="Arial" w:hAnsi="Arial" w:cs="Arial"/>
          <w:sz w:val="20"/>
          <w:szCs w:val="20"/>
        </w:rPr>
      </w:pPr>
      <w:r w:rsidRPr="001608F0">
        <w:rPr>
          <w:rFonts w:ascii="Arial" w:hAnsi="Arial" w:cs="Arial"/>
          <w:sz w:val="20"/>
          <w:szCs w:val="20"/>
        </w:rPr>
        <w:t>Disclaimer</w:t>
      </w:r>
    </w:p>
    <w:p w14:paraId="3098F5DD" w14:textId="20C1188C" w:rsidR="003A0A8A" w:rsidRPr="001608F0" w:rsidRDefault="003A0A8A">
      <w:pPr>
        <w:rPr>
          <w:rFonts w:ascii="Arial" w:hAnsi="Arial" w:cs="Arial"/>
          <w:sz w:val="20"/>
          <w:szCs w:val="20"/>
        </w:rPr>
      </w:pPr>
      <w:r w:rsidRPr="001608F0">
        <w:rPr>
          <w:rFonts w:ascii="Arial" w:hAnsi="Arial" w:cs="Arial"/>
          <w:sz w:val="20"/>
          <w:szCs w:val="20"/>
        </w:rPr>
        <w:t>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All implied warranties or conditions are expressly excluded to the fullest extent possible.</w:t>
      </w:r>
    </w:p>
    <w:p w14:paraId="7D300738" w14:textId="3803E1C5" w:rsidR="003A7D77" w:rsidRPr="001608F0" w:rsidRDefault="006B3464">
      <w:pPr>
        <w:rPr>
          <w:rFonts w:ascii="Arial" w:hAnsi="Arial" w:cs="Arial"/>
          <w:sz w:val="20"/>
          <w:szCs w:val="20"/>
        </w:rPr>
      </w:pPr>
      <w:r w:rsidRPr="001608F0">
        <w:rPr>
          <w:rFonts w:ascii="Arial" w:hAnsi="Arial" w:cs="Arial"/>
          <w:sz w:val="20"/>
          <w:szCs w:val="20"/>
        </w:rPr>
        <w:t xml:space="preserve">The “Advance Subscription Agreement” which follows this note has been prepared on a basis which is intended to be compatible with the requirements for SEIS / EIS relief at the time of its preparation. However, please note that we are unable to guarantee the application of any tax reliefs to any form of investment and if these reliefs are an important aspect of your plans we would strongly recommend that you apply to HMRC for “advance assurance” before completing any documentation. Although it can appear relatively simplistic this is a fairly complicated document and if you are at all uncomfortable with any part of the drafting, have any queries, or would like to make any changes to the approach we would strongly recommend that you speak to us or other suitable legal professionals before completing any documentation. </w:t>
      </w:r>
    </w:p>
    <w:p w14:paraId="07F91CDC" w14:textId="77777777" w:rsidR="003A7D77" w:rsidRDefault="003A7D77">
      <w:r>
        <w:br w:type="page"/>
      </w:r>
    </w:p>
    <w:p w14:paraId="23226C35" w14:textId="77777777" w:rsidR="003A7D77" w:rsidRPr="0097073B" w:rsidRDefault="003A7D77" w:rsidP="003A7D77">
      <w:pPr>
        <w:jc w:val="center"/>
        <w:rPr>
          <w:rFonts w:cs="Arial"/>
        </w:rPr>
      </w:pPr>
    </w:p>
    <w:p w14:paraId="7A9DE78B" w14:textId="77777777" w:rsidR="003A7D77" w:rsidRPr="001608F0" w:rsidRDefault="003A7D77" w:rsidP="003A7D77">
      <w:pPr>
        <w:pStyle w:val="Ash-FrontPage"/>
        <w:rPr>
          <w:rFonts w:ascii="Arial" w:hAnsi="Arial" w:cs="Arial"/>
          <w:u w:val="single"/>
        </w:rPr>
      </w:pPr>
      <w:r w:rsidRPr="001608F0">
        <w:rPr>
          <w:rFonts w:ascii="Arial" w:hAnsi="Arial" w:cs="Arial"/>
          <w:u w:val="single"/>
        </w:rPr>
        <w:t>DATED                                                    20[    ]</w:t>
      </w:r>
    </w:p>
    <w:p w14:paraId="16C8CBD7" w14:textId="77777777" w:rsidR="003A7D77" w:rsidRPr="0097073B" w:rsidRDefault="003A7D77" w:rsidP="003A7D77">
      <w:pPr>
        <w:jc w:val="center"/>
        <w:rPr>
          <w:rFonts w:cs="Arial"/>
        </w:rPr>
      </w:pPr>
    </w:p>
    <w:p w14:paraId="3040B2D3" w14:textId="77777777" w:rsidR="003A7D77" w:rsidRPr="0097073B" w:rsidRDefault="003A7D77" w:rsidP="003A7D77">
      <w:pPr>
        <w:jc w:val="center"/>
        <w:rPr>
          <w:rFonts w:cs="Arial"/>
        </w:rPr>
      </w:pPr>
    </w:p>
    <w:tbl>
      <w:tblPr>
        <w:tblW w:w="0" w:type="auto"/>
        <w:tblInd w:w="1758" w:type="dxa"/>
        <w:tblLook w:val="01E0" w:firstRow="1" w:lastRow="1" w:firstColumn="1" w:lastColumn="1" w:noHBand="0" w:noVBand="0"/>
      </w:tblPr>
      <w:tblGrid>
        <w:gridCol w:w="660"/>
        <w:gridCol w:w="5060"/>
      </w:tblGrid>
      <w:tr w:rsidR="003A7D77" w:rsidRPr="0097073B" w14:paraId="4C4E6ED0" w14:textId="77777777" w:rsidTr="00B640CB">
        <w:tc>
          <w:tcPr>
            <w:tcW w:w="660" w:type="dxa"/>
            <w:vAlign w:val="center"/>
          </w:tcPr>
          <w:p w14:paraId="3D191993" w14:textId="77777777" w:rsidR="003A7D77" w:rsidRPr="001608F0" w:rsidRDefault="003A7D77" w:rsidP="00B640CB">
            <w:pPr>
              <w:pStyle w:val="Ash-FrontPage"/>
              <w:rPr>
                <w:rFonts w:ascii="Arial" w:hAnsi="Arial" w:cs="Arial"/>
              </w:rPr>
            </w:pPr>
            <w:r w:rsidRPr="001608F0">
              <w:rPr>
                <w:rFonts w:ascii="Arial" w:hAnsi="Arial" w:cs="Arial"/>
              </w:rPr>
              <w:t>(1)</w:t>
            </w:r>
          </w:p>
        </w:tc>
        <w:tc>
          <w:tcPr>
            <w:tcW w:w="5060" w:type="dxa"/>
            <w:vAlign w:val="center"/>
          </w:tcPr>
          <w:p w14:paraId="06F6FCD7" w14:textId="77777777" w:rsidR="003A7D77" w:rsidRPr="001608F0" w:rsidRDefault="003A7D77" w:rsidP="00B640CB">
            <w:pPr>
              <w:pStyle w:val="Ash-FrontPage"/>
              <w:rPr>
                <w:rFonts w:ascii="Arial" w:hAnsi="Arial" w:cs="Arial"/>
              </w:rPr>
            </w:pPr>
            <w:r w:rsidRPr="001608F0">
              <w:rPr>
                <w:rFonts w:ascii="Arial" w:hAnsi="Arial" w:cs="Arial"/>
              </w:rPr>
              <w:t>[NAME OF SUBSCRIBER]</w:t>
            </w:r>
          </w:p>
        </w:tc>
      </w:tr>
      <w:tr w:rsidR="003A7D77" w:rsidRPr="0097073B" w14:paraId="2B1051CA" w14:textId="77777777" w:rsidTr="00B640CB">
        <w:tc>
          <w:tcPr>
            <w:tcW w:w="660" w:type="dxa"/>
            <w:vAlign w:val="center"/>
          </w:tcPr>
          <w:p w14:paraId="77FE0FEE" w14:textId="77777777" w:rsidR="003A7D77" w:rsidRPr="001608F0" w:rsidRDefault="003A7D77" w:rsidP="00B640CB">
            <w:pPr>
              <w:pStyle w:val="Ash-FrontPage"/>
              <w:rPr>
                <w:rFonts w:ascii="Arial" w:hAnsi="Arial" w:cs="Arial"/>
              </w:rPr>
            </w:pPr>
            <w:r w:rsidRPr="001608F0">
              <w:rPr>
                <w:rFonts w:ascii="Arial" w:hAnsi="Arial" w:cs="Arial"/>
              </w:rPr>
              <w:t>(2)</w:t>
            </w:r>
          </w:p>
        </w:tc>
        <w:tc>
          <w:tcPr>
            <w:tcW w:w="5060" w:type="dxa"/>
            <w:vAlign w:val="center"/>
          </w:tcPr>
          <w:p w14:paraId="68B60CA7" w14:textId="77777777" w:rsidR="003A7D77" w:rsidRPr="001608F0" w:rsidRDefault="003A7D77" w:rsidP="00B640CB">
            <w:pPr>
              <w:pStyle w:val="Ash-FrontPage"/>
              <w:rPr>
                <w:rFonts w:ascii="Arial" w:hAnsi="Arial" w:cs="Arial"/>
              </w:rPr>
            </w:pPr>
            <w:r w:rsidRPr="001608F0">
              <w:rPr>
                <w:rFonts w:ascii="Arial" w:hAnsi="Arial" w:cs="Arial"/>
              </w:rPr>
              <w:t>[NAME OF COMPANY ISSUING ASA]</w:t>
            </w:r>
          </w:p>
        </w:tc>
      </w:tr>
    </w:tbl>
    <w:p w14:paraId="2C1E742C" w14:textId="77777777" w:rsidR="003A7D77" w:rsidRPr="0097073B" w:rsidRDefault="003A7D77" w:rsidP="003A7D77">
      <w:pPr>
        <w:jc w:val="center"/>
        <w:rPr>
          <w:rFonts w:cs="Arial"/>
        </w:rPr>
      </w:pPr>
    </w:p>
    <w:p w14:paraId="275B81E5" w14:textId="77777777" w:rsidR="003A7D77" w:rsidRPr="0097073B" w:rsidRDefault="003A7D77" w:rsidP="003A7D77">
      <w:pPr>
        <w:jc w:val="center"/>
        <w:rPr>
          <w:rFonts w:cs="Arial"/>
        </w:rPr>
      </w:pPr>
    </w:p>
    <w:p w14:paraId="7C92F3B9" w14:textId="77777777" w:rsidR="003A7D77" w:rsidRPr="0097073B" w:rsidRDefault="003A7D77" w:rsidP="003A7D77">
      <w:pPr>
        <w:jc w:val="center"/>
        <w:rPr>
          <w:rFonts w:cs="Arial"/>
        </w:rPr>
      </w:pPr>
    </w:p>
    <w:p w14:paraId="2C9CEFA0" w14:textId="77777777" w:rsidR="003A7D77" w:rsidRPr="0097073B" w:rsidRDefault="003A7D77" w:rsidP="003A7D77">
      <w:pPr>
        <w:jc w:val="center"/>
        <w:rPr>
          <w:rFonts w:cs="Arial"/>
        </w:rPr>
      </w:pPr>
    </w:p>
    <w:p w14:paraId="1BA1AADD" w14:textId="77777777" w:rsidR="003A7D77" w:rsidRPr="0097073B" w:rsidRDefault="003A7D77" w:rsidP="003A7D77">
      <w:pPr>
        <w:jc w:val="center"/>
        <w:rPr>
          <w:rFonts w:cs="Arial"/>
        </w:rPr>
      </w:pPr>
    </w:p>
    <w:p w14:paraId="24249CAE" w14:textId="77777777" w:rsidR="003A7D77" w:rsidRPr="0097073B" w:rsidRDefault="003A7D77" w:rsidP="003A7D77">
      <w:pPr>
        <w:jc w:val="center"/>
        <w:rPr>
          <w:rFonts w:cs="Arial"/>
        </w:rPr>
      </w:pPr>
    </w:p>
    <w:tbl>
      <w:tblPr>
        <w:tblW w:w="0" w:type="auto"/>
        <w:tblCellMar>
          <w:top w:w="284" w:type="dxa"/>
          <w:bottom w:w="284" w:type="dxa"/>
        </w:tblCellMar>
        <w:tblLook w:val="0000" w:firstRow="0" w:lastRow="0" w:firstColumn="0" w:lastColumn="0" w:noHBand="0" w:noVBand="0"/>
      </w:tblPr>
      <w:tblGrid>
        <w:gridCol w:w="2448"/>
        <w:gridCol w:w="4500"/>
        <w:gridCol w:w="2341"/>
      </w:tblGrid>
      <w:tr w:rsidR="003A7D77" w:rsidRPr="0097073B" w14:paraId="4A6838AB" w14:textId="77777777" w:rsidTr="00B640CB">
        <w:tc>
          <w:tcPr>
            <w:tcW w:w="2448" w:type="dxa"/>
          </w:tcPr>
          <w:p w14:paraId="2B9B8220" w14:textId="77777777" w:rsidR="003A7D77" w:rsidRPr="001608F0" w:rsidRDefault="003A7D77" w:rsidP="00B640CB">
            <w:pPr>
              <w:pStyle w:val="Ash-FrontPage"/>
              <w:rPr>
                <w:rFonts w:ascii="Arial" w:hAnsi="Arial" w:cs="Arial"/>
              </w:rPr>
            </w:pPr>
          </w:p>
        </w:tc>
        <w:tc>
          <w:tcPr>
            <w:tcW w:w="4500" w:type="dxa"/>
            <w:tcBorders>
              <w:top w:val="single" w:sz="4" w:space="0" w:color="auto"/>
              <w:bottom w:val="single" w:sz="4" w:space="0" w:color="auto"/>
            </w:tcBorders>
          </w:tcPr>
          <w:p w14:paraId="07DBC0F9" w14:textId="77777777" w:rsidR="003A7D77" w:rsidRPr="001608F0" w:rsidRDefault="003A7D77" w:rsidP="00B640CB">
            <w:pPr>
              <w:pStyle w:val="Ash-FrontPage"/>
              <w:rPr>
                <w:rFonts w:ascii="Arial" w:hAnsi="Arial" w:cs="Arial"/>
                <w:bCs/>
              </w:rPr>
            </w:pPr>
            <w:r w:rsidRPr="001608F0">
              <w:rPr>
                <w:rFonts w:ascii="Arial" w:hAnsi="Arial" w:cs="Arial"/>
                <w:bCs/>
              </w:rPr>
              <w:t xml:space="preserve">ADVANCE SUBSCRIPTION  AGREEMENT </w:t>
            </w:r>
          </w:p>
          <w:p w14:paraId="1486BE8A" w14:textId="77777777" w:rsidR="003A7D77" w:rsidRPr="001608F0" w:rsidRDefault="003A7D77" w:rsidP="00B640CB">
            <w:pPr>
              <w:pStyle w:val="Ash-FrontPage"/>
              <w:rPr>
                <w:rFonts w:ascii="Arial" w:hAnsi="Arial" w:cs="Arial"/>
                <w:bCs/>
              </w:rPr>
            </w:pPr>
            <w:r w:rsidRPr="001608F0">
              <w:rPr>
                <w:rFonts w:ascii="Arial" w:hAnsi="Arial" w:cs="Arial"/>
                <w:bCs/>
              </w:rPr>
              <w:t xml:space="preserve">RELATING TO </w:t>
            </w:r>
          </w:p>
          <w:p w14:paraId="104882D0" w14:textId="77777777" w:rsidR="003A7D77" w:rsidRPr="001608F0" w:rsidRDefault="003A7D77" w:rsidP="00B640CB">
            <w:pPr>
              <w:pStyle w:val="Ash-FrontPage"/>
              <w:rPr>
                <w:rFonts w:ascii="Arial" w:hAnsi="Arial" w:cs="Arial"/>
                <w:bCs/>
              </w:rPr>
            </w:pPr>
            <w:r w:rsidRPr="001608F0">
              <w:rPr>
                <w:rFonts w:ascii="Arial" w:hAnsi="Arial" w:cs="Arial"/>
                <w:bCs/>
              </w:rPr>
              <w:t>[name of company]</w:t>
            </w:r>
          </w:p>
        </w:tc>
        <w:tc>
          <w:tcPr>
            <w:tcW w:w="2341" w:type="dxa"/>
          </w:tcPr>
          <w:p w14:paraId="48CF0E66" w14:textId="77777777" w:rsidR="003A7D77" w:rsidRPr="001608F0" w:rsidRDefault="003A7D77" w:rsidP="00B640CB">
            <w:pPr>
              <w:pStyle w:val="Ash-FrontPage"/>
              <w:rPr>
                <w:rFonts w:ascii="Arial" w:hAnsi="Arial" w:cs="Arial"/>
              </w:rPr>
            </w:pPr>
          </w:p>
        </w:tc>
      </w:tr>
    </w:tbl>
    <w:p w14:paraId="1B52DB41" w14:textId="77777777" w:rsidR="003A7D77" w:rsidRPr="0097073B" w:rsidRDefault="003A7D77" w:rsidP="003A7D77">
      <w:pPr>
        <w:jc w:val="center"/>
        <w:rPr>
          <w:rFonts w:cs="Arial"/>
        </w:rPr>
      </w:pPr>
    </w:p>
    <w:p w14:paraId="54B20C00" w14:textId="77777777" w:rsidR="003A7D77" w:rsidRPr="0097073B" w:rsidRDefault="003A7D77" w:rsidP="003A7D77">
      <w:pPr>
        <w:jc w:val="center"/>
        <w:rPr>
          <w:rFonts w:cs="Arial"/>
        </w:rPr>
      </w:pPr>
    </w:p>
    <w:p w14:paraId="4D834F77" w14:textId="77777777" w:rsidR="003A7D77" w:rsidRPr="0097073B" w:rsidRDefault="003A7D77" w:rsidP="003A7D77">
      <w:pPr>
        <w:jc w:val="center"/>
        <w:rPr>
          <w:rFonts w:cs="Arial"/>
        </w:rPr>
      </w:pPr>
    </w:p>
    <w:p w14:paraId="418C5E8C" w14:textId="77777777" w:rsidR="003A7D77" w:rsidRPr="0097073B" w:rsidRDefault="003A7D77" w:rsidP="003A7D77">
      <w:pPr>
        <w:jc w:val="center"/>
        <w:rPr>
          <w:rFonts w:cs="Arial"/>
        </w:rPr>
      </w:pPr>
    </w:p>
    <w:p w14:paraId="4114044A" w14:textId="77777777" w:rsidR="003A7D77" w:rsidRPr="0097073B" w:rsidRDefault="003A7D77" w:rsidP="003A7D77">
      <w:pPr>
        <w:jc w:val="center"/>
        <w:rPr>
          <w:rFonts w:cs="Arial"/>
        </w:rPr>
      </w:pPr>
    </w:p>
    <w:p w14:paraId="37F56625" w14:textId="77777777" w:rsidR="003A7D77" w:rsidRPr="0097073B" w:rsidRDefault="003A7D77" w:rsidP="003A7D77">
      <w:pPr>
        <w:jc w:val="center"/>
        <w:rPr>
          <w:rFonts w:cs="Arial"/>
        </w:rPr>
      </w:pPr>
    </w:p>
    <w:p w14:paraId="5C5C7C6C" w14:textId="388BA654" w:rsidR="003A7D77" w:rsidRPr="0097073B" w:rsidRDefault="003A7D77" w:rsidP="003A7D77">
      <w:pPr>
        <w:jc w:val="center"/>
        <w:rPr>
          <w:rFonts w:cs="Arial"/>
        </w:rPr>
      </w:pPr>
    </w:p>
    <w:p w14:paraId="631E130C" w14:textId="6078BDAE" w:rsidR="003A7D77" w:rsidRPr="008C1F68" w:rsidRDefault="00735646" w:rsidP="003A7D77">
      <w:pPr>
        <w:jc w:val="center"/>
        <w:rPr>
          <w:rFonts w:cs="Arial"/>
          <w:szCs w:val="20"/>
        </w:rPr>
      </w:pPr>
      <w:r>
        <w:rPr>
          <w:noProof/>
          <w:color w:val="006380"/>
          <w:sz w:val="36"/>
        </w:rPr>
        <w:drawing>
          <wp:anchor distT="0" distB="0" distL="114300" distR="114300" simplePos="0" relativeHeight="251659264" behindDoc="1" locked="0" layoutInCell="1" allowOverlap="1" wp14:anchorId="11AE040C" wp14:editId="0595C37E">
            <wp:simplePos x="0" y="0"/>
            <wp:positionH relativeFrom="margin">
              <wp:posOffset>2095500</wp:posOffset>
            </wp:positionH>
            <wp:positionV relativeFrom="paragraph">
              <wp:posOffset>532765</wp:posOffset>
            </wp:positionV>
            <wp:extent cx="1569720" cy="33850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p w14:paraId="13CDAF12" w14:textId="77777777" w:rsidR="003A7D77" w:rsidRPr="008C1F68" w:rsidRDefault="003A7D77" w:rsidP="003A7D77">
      <w:pPr>
        <w:rPr>
          <w:rFonts w:cs="Arial"/>
          <w:szCs w:val="20"/>
        </w:rPr>
        <w:sectPr w:rsidR="003A7D77" w:rsidRPr="008C1F68" w:rsidSect="003A7D77">
          <w:footerReference w:type="even" r:id="rId8"/>
          <w:headerReference w:type="first" r:id="rId9"/>
          <w:pgSz w:w="11909" w:h="16834" w:code="9"/>
          <w:pgMar w:top="1417" w:right="1417" w:bottom="1417" w:left="1417" w:header="680" w:footer="680" w:gutter="0"/>
          <w:cols w:space="720"/>
          <w:titlePg/>
          <w:docGrid w:linePitch="360"/>
        </w:sectPr>
      </w:pPr>
    </w:p>
    <w:p w14:paraId="54C1F4BE" w14:textId="77777777" w:rsidR="003A7D77" w:rsidRPr="001608F0" w:rsidRDefault="003A7D77" w:rsidP="003A7D77">
      <w:pPr>
        <w:tabs>
          <w:tab w:val="left" w:pos="4622"/>
        </w:tabs>
        <w:rPr>
          <w:rFonts w:ascii="Arial" w:hAnsi="Arial" w:cs="Arial"/>
          <w:sz w:val="20"/>
          <w:szCs w:val="20"/>
        </w:rPr>
      </w:pPr>
      <w:r w:rsidRPr="001608F0">
        <w:rPr>
          <w:rFonts w:ascii="Arial" w:hAnsi="Arial" w:cs="Arial"/>
          <w:b/>
          <w:sz w:val="20"/>
          <w:szCs w:val="20"/>
        </w:rPr>
        <w:lastRenderedPageBreak/>
        <w:t>DATED</w:t>
      </w:r>
      <w:r w:rsidRPr="001608F0">
        <w:rPr>
          <w:rFonts w:ascii="Arial" w:hAnsi="Arial" w:cs="Arial"/>
          <w:b/>
          <w:sz w:val="20"/>
          <w:szCs w:val="20"/>
        </w:rPr>
        <w:tab/>
      </w:r>
      <w:r w:rsidRPr="001608F0">
        <w:rPr>
          <w:rFonts w:ascii="Arial" w:hAnsi="Arial" w:cs="Arial"/>
          <w:b/>
          <w:sz w:val="20"/>
          <w:szCs w:val="20"/>
        </w:rPr>
        <w:tab/>
      </w:r>
      <w:r w:rsidRPr="001608F0">
        <w:rPr>
          <w:rFonts w:ascii="Arial" w:hAnsi="Arial" w:cs="Arial"/>
          <w:b/>
          <w:sz w:val="20"/>
          <w:szCs w:val="20"/>
        </w:rPr>
        <w:tab/>
      </w:r>
      <w:r w:rsidRPr="001608F0">
        <w:rPr>
          <w:rFonts w:ascii="Arial" w:hAnsi="Arial" w:cs="Arial"/>
          <w:b/>
          <w:sz w:val="20"/>
          <w:szCs w:val="20"/>
        </w:rPr>
        <w:tab/>
      </w:r>
      <w:r w:rsidRPr="001608F0">
        <w:rPr>
          <w:rFonts w:ascii="Arial" w:hAnsi="Arial" w:cs="Arial"/>
          <w:b/>
          <w:sz w:val="20"/>
          <w:szCs w:val="20"/>
        </w:rPr>
        <w:tab/>
      </w:r>
      <w:r w:rsidRPr="001608F0">
        <w:rPr>
          <w:rFonts w:ascii="Arial" w:hAnsi="Arial" w:cs="Arial"/>
          <w:b/>
          <w:sz w:val="20"/>
          <w:szCs w:val="20"/>
        </w:rPr>
        <w:tab/>
        <w:t>20[    ]</w:t>
      </w:r>
    </w:p>
    <w:p w14:paraId="2FD7077F" w14:textId="77777777" w:rsidR="003A7D77" w:rsidRPr="008C1F68" w:rsidRDefault="003A7D77" w:rsidP="003A7D77">
      <w:pPr>
        <w:pStyle w:val="O-TitleLeftBold"/>
        <w:rPr>
          <w:rFonts w:cs="Arial"/>
        </w:rPr>
      </w:pPr>
      <w:r w:rsidRPr="008C1F68">
        <w:rPr>
          <w:rFonts w:cs="Arial"/>
        </w:rPr>
        <w:t>PARTIES</w:t>
      </w:r>
    </w:p>
    <w:p w14:paraId="6747713F" w14:textId="77777777" w:rsidR="003A7D77" w:rsidRPr="008C1F68" w:rsidRDefault="003A7D77" w:rsidP="003A7D77">
      <w:pPr>
        <w:pStyle w:val="O-Bodyw5"/>
        <w:numPr>
          <w:ilvl w:val="0"/>
          <w:numId w:val="3"/>
        </w:numPr>
        <w:spacing w:before="0"/>
        <w:ind w:hanging="720"/>
        <w:rPr>
          <w:rFonts w:cs="Arial"/>
          <w:szCs w:val="20"/>
        </w:rPr>
      </w:pPr>
      <w:r w:rsidRPr="008C1F68">
        <w:rPr>
          <w:rFonts w:cs="Arial"/>
          <w:b/>
          <w:szCs w:val="20"/>
        </w:rPr>
        <w:t>[</w:t>
      </w:r>
      <w:r>
        <w:rPr>
          <w:rFonts w:cs="Arial"/>
          <w:b/>
          <w:szCs w:val="20"/>
        </w:rPr>
        <w:t>NAME</w:t>
      </w:r>
      <w:r w:rsidRPr="008C1F68">
        <w:rPr>
          <w:rFonts w:cs="Arial"/>
          <w:b/>
          <w:szCs w:val="20"/>
        </w:rPr>
        <w:t xml:space="preserve">] </w:t>
      </w:r>
      <w:r w:rsidRPr="008C1F68">
        <w:rPr>
          <w:rFonts w:cs="Arial"/>
          <w:szCs w:val="20"/>
        </w:rPr>
        <w:t>of [</w:t>
      </w:r>
      <w:r>
        <w:rPr>
          <w:rFonts w:cs="Arial"/>
          <w:szCs w:val="20"/>
        </w:rPr>
        <w:t>ADDRESS</w:t>
      </w:r>
      <w:r w:rsidRPr="008C1F68">
        <w:rPr>
          <w:rFonts w:cs="Arial"/>
          <w:szCs w:val="20"/>
        </w:rPr>
        <w:t>] (the "</w:t>
      </w:r>
      <w:r w:rsidRPr="008C1F68">
        <w:rPr>
          <w:rFonts w:cs="Arial"/>
          <w:b/>
          <w:szCs w:val="20"/>
        </w:rPr>
        <w:t>Subscriber</w:t>
      </w:r>
      <w:r w:rsidRPr="008C1F68">
        <w:rPr>
          <w:rFonts w:cs="Arial"/>
          <w:szCs w:val="20"/>
        </w:rPr>
        <w:t>"); and</w:t>
      </w:r>
      <w:bookmarkStart w:id="0" w:name="_Toc189472427"/>
    </w:p>
    <w:p w14:paraId="3AD05D1F" w14:textId="77777777" w:rsidR="003A7D77" w:rsidRPr="008C1F68" w:rsidRDefault="003A7D77" w:rsidP="003A7D77">
      <w:pPr>
        <w:pStyle w:val="O-Bodyw5"/>
        <w:numPr>
          <w:ilvl w:val="0"/>
          <w:numId w:val="3"/>
        </w:numPr>
        <w:spacing w:before="0"/>
        <w:ind w:hanging="720"/>
        <w:rPr>
          <w:rFonts w:cs="Arial"/>
          <w:szCs w:val="20"/>
        </w:rPr>
      </w:pPr>
      <w:r>
        <w:rPr>
          <w:rFonts w:cs="Arial"/>
          <w:b/>
          <w:szCs w:val="20"/>
        </w:rPr>
        <w:t>[NAME OF COMPANY]</w:t>
      </w:r>
      <w:r w:rsidRPr="008C1F68">
        <w:rPr>
          <w:rFonts w:cs="Arial"/>
          <w:bCs/>
          <w:szCs w:val="20"/>
        </w:rPr>
        <w:t>,</w:t>
      </w:r>
      <w:r w:rsidRPr="008C1F68">
        <w:rPr>
          <w:rFonts w:cs="Arial"/>
          <w:b/>
          <w:szCs w:val="20"/>
        </w:rPr>
        <w:t xml:space="preserve"> </w:t>
      </w:r>
      <w:r w:rsidRPr="008C1F68">
        <w:rPr>
          <w:rFonts w:cs="Arial"/>
          <w:szCs w:val="20"/>
        </w:rPr>
        <w:t xml:space="preserve">a company incorporated </w:t>
      </w:r>
      <w:r w:rsidRPr="008C1F68">
        <w:rPr>
          <w:rFonts w:cs="Arial"/>
          <w:i/>
          <w:szCs w:val="20"/>
        </w:rPr>
        <w:t>a</w:t>
      </w:r>
      <w:r w:rsidRPr="008C1F68">
        <w:rPr>
          <w:rFonts w:cs="Arial"/>
          <w:szCs w:val="20"/>
        </w:rPr>
        <w:t xml:space="preserve">nd registered in England and Wales with company number </w:t>
      </w:r>
      <w:r>
        <w:rPr>
          <w:rFonts w:cs="Arial"/>
          <w:szCs w:val="20"/>
        </w:rPr>
        <w:t>[NUMBER]</w:t>
      </w:r>
      <w:r w:rsidRPr="008C1F68">
        <w:rPr>
          <w:rFonts w:cs="Arial"/>
          <w:szCs w:val="20"/>
        </w:rPr>
        <w:t xml:space="preserve"> and having its registered office at </w:t>
      </w:r>
      <w:r>
        <w:rPr>
          <w:rFonts w:cs="Arial"/>
          <w:szCs w:val="20"/>
        </w:rPr>
        <w:t>[ADDRESS]</w:t>
      </w:r>
      <w:r w:rsidRPr="008C1F68">
        <w:rPr>
          <w:rFonts w:cs="Arial"/>
          <w:szCs w:val="20"/>
          <w:lang w:val="en"/>
        </w:rPr>
        <w:t xml:space="preserve"> </w:t>
      </w:r>
      <w:r w:rsidRPr="008C1F68">
        <w:rPr>
          <w:rFonts w:cs="Arial"/>
          <w:szCs w:val="20"/>
        </w:rPr>
        <w:t>(the "</w:t>
      </w:r>
      <w:r w:rsidRPr="008C1F68">
        <w:rPr>
          <w:rFonts w:cs="Arial"/>
          <w:b/>
          <w:szCs w:val="20"/>
        </w:rPr>
        <w:t>Company</w:t>
      </w:r>
      <w:r w:rsidRPr="008C1F68">
        <w:rPr>
          <w:rFonts w:cs="Arial"/>
          <w:szCs w:val="20"/>
        </w:rPr>
        <w:t>").</w:t>
      </w:r>
      <w:bookmarkEnd w:id="0"/>
    </w:p>
    <w:p w14:paraId="669142EE" w14:textId="77777777" w:rsidR="003A7D77" w:rsidRPr="008C1F68" w:rsidRDefault="003A7D77" w:rsidP="003A7D77">
      <w:pPr>
        <w:pStyle w:val="O-BodyText"/>
        <w:rPr>
          <w:rFonts w:cs="Arial"/>
          <w:b/>
        </w:rPr>
      </w:pPr>
      <w:r w:rsidRPr="008C1F68">
        <w:rPr>
          <w:rFonts w:cs="Arial"/>
          <w:b/>
        </w:rPr>
        <w:t>INTRODUCTION</w:t>
      </w:r>
    </w:p>
    <w:p w14:paraId="6DC1880A" w14:textId="77777777" w:rsidR="003A7D77" w:rsidRPr="008C1F68" w:rsidRDefault="003A7D77" w:rsidP="003A7D77">
      <w:pPr>
        <w:pStyle w:val="O-BodyText"/>
        <w:rPr>
          <w:rFonts w:cs="Arial"/>
          <w:b/>
        </w:rPr>
      </w:pPr>
      <w:r w:rsidRPr="008C1F68">
        <w:rPr>
          <w:rFonts w:cs="Arial"/>
        </w:rPr>
        <w:t>On or around the date of this agreement (the "</w:t>
      </w:r>
      <w:r w:rsidRPr="008C1F68">
        <w:rPr>
          <w:rFonts w:cs="Arial"/>
          <w:b/>
        </w:rPr>
        <w:t>Advance Date</w:t>
      </w:r>
      <w:r w:rsidRPr="008C1F68">
        <w:rPr>
          <w:rFonts w:cs="Arial"/>
        </w:rPr>
        <w:t>") the Subscriber shall make advance subscription funds available to the Company for the purpose and on the terms more particularly described in this agreement.</w:t>
      </w:r>
    </w:p>
    <w:p w14:paraId="348CD0D5" w14:textId="77777777" w:rsidR="003A7D77" w:rsidRPr="008C1F68" w:rsidRDefault="003A7D77" w:rsidP="003A7D77">
      <w:pPr>
        <w:pStyle w:val="O-BodyText"/>
        <w:rPr>
          <w:rFonts w:cs="Arial"/>
        </w:rPr>
      </w:pPr>
      <w:r w:rsidRPr="008C1F68">
        <w:rPr>
          <w:rFonts w:cs="Arial"/>
          <w:b/>
        </w:rPr>
        <w:t>IT IS AGREED AS FOLLOWS</w:t>
      </w:r>
    </w:p>
    <w:p w14:paraId="1934561F" w14:textId="77777777" w:rsidR="003A7D77" w:rsidRPr="008C1F68" w:rsidRDefault="003A7D77" w:rsidP="003A7D77">
      <w:pPr>
        <w:pStyle w:val="LNMainL1"/>
      </w:pPr>
      <w:bookmarkStart w:id="1" w:name="_Ref129170348"/>
      <w:r w:rsidRPr="008C1F68">
        <w:t>Definitions</w:t>
      </w:r>
      <w:bookmarkEnd w:id="1"/>
    </w:p>
    <w:p w14:paraId="07D89578" w14:textId="77777777" w:rsidR="003A7D77" w:rsidRPr="008C1F68" w:rsidRDefault="003A7D77" w:rsidP="003A7D77">
      <w:pPr>
        <w:pStyle w:val="LNMainL2"/>
      </w:pPr>
      <w:r w:rsidRPr="008C1F68">
        <w:t>Unless the context requires otherwise, terms defined in the Articles shall have the same meaning in this agreement.</w:t>
      </w:r>
    </w:p>
    <w:p w14:paraId="1AEAC488" w14:textId="77777777" w:rsidR="003A7D77" w:rsidRPr="008C1F68" w:rsidRDefault="003A7D77" w:rsidP="003A7D77">
      <w:pPr>
        <w:pStyle w:val="LNMainL2"/>
      </w:pPr>
      <w:r w:rsidRPr="008C1F68">
        <w:t>In this agreement:</w:t>
      </w:r>
    </w:p>
    <w:tbl>
      <w:tblPr>
        <w:tblW w:w="0" w:type="auto"/>
        <w:tblInd w:w="720" w:type="dxa"/>
        <w:tblLook w:val="04A0" w:firstRow="1" w:lastRow="0" w:firstColumn="1" w:lastColumn="0" w:noHBand="0" w:noVBand="1"/>
      </w:tblPr>
      <w:tblGrid>
        <w:gridCol w:w="2855"/>
        <w:gridCol w:w="5454"/>
      </w:tblGrid>
      <w:tr w:rsidR="003A7D77" w:rsidRPr="0097073B" w14:paraId="2A3F1CBA" w14:textId="77777777" w:rsidTr="00B640CB">
        <w:tc>
          <w:tcPr>
            <w:tcW w:w="2855" w:type="dxa"/>
            <w:shd w:val="clear" w:color="auto" w:fill="auto"/>
          </w:tcPr>
          <w:p w14:paraId="3B826821"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“Acting in Concert”</w:t>
            </w:r>
          </w:p>
        </w:tc>
        <w:tc>
          <w:tcPr>
            <w:tcW w:w="5454" w:type="dxa"/>
            <w:shd w:val="clear" w:color="auto" w:fill="auto"/>
          </w:tcPr>
          <w:p w14:paraId="14E181D9"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has the meaning given to it in The City Code on Takeovers and Mergers published by the Panel on Takeovers and Mergers (as amended from time to time);</w:t>
            </w:r>
          </w:p>
        </w:tc>
      </w:tr>
      <w:tr w:rsidR="003A7D77" w:rsidRPr="0097073B" w14:paraId="7CAE6237" w14:textId="77777777" w:rsidTr="00B640CB">
        <w:tc>
          <w:tcPr>
            <w:tcW w:w="2855" w:type="dxa"/>
            <w:shd w:val="clear" w:color="auto" w:fill="auto"/>
          </w:tcPr>
          <w:p w14:paraId="523DDC91"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"Advance Date"</w:t>
            </w:r>
          </w:p>
        </w:tc>
        <w:tc>
          <w:tcPr>
            <w:tcW w:w="5454" w:type="dxa"/>
            <w:shd w:val="clear" w:color="auto" w:fill="auto"/>
          </w:tcPr>
          <w:p w14:paraId="2A438E14"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 xml:space="preserve">has the meaning given in the </w:t>
            </w:r>
            <w:bookmarkStart w:id="2" w:name="_9kR3WTr26645BUK273qxxx406"/>
            <w:r w:rsidRPr="001608F0">
              <w:rPr>
                <w:rFonts w:ascii="Arial" w:hAnsi="Arial" w:cs="Arial"/>
                <w:sz w:val="20"/>
                <w:szCs w:val="20"/>
              </w:rPr>
              <w:t>Introduction</w:t>
            </w:r>
            <w:bookmarkEnd w:id="2"/>
            <w:r w:rsidRPr="001608F0">
              <w:rPr>
                <w:rFonts w:ascii="Arial" w:hAnsi="Arial" w:cs="Arial"/>
                <w:sz w:val="20"/>
                <w:szCs w:val="20"/>
              </w:rPr>
              <w:t>;</w:t>
            </w:r>
          </w:p>
        </w:tc>
      </w:tr>
      <w:tr w:rsidR="003A7D77" w:rsidRPr="0097073B" w14:paraId="2C635BFF" w14:textId="77777777" w:rsidTr="00B640CB">
        <w:tc>
          <w:tcPr>
            <w:tcW w:w="2855" w:type="dxa"/>
            <w:shd w:val="clear" w:color="auto" w:fill="auto"/>
          </w:tcPr>
          <w:p w14:paraId="48FAC6B9"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"Advance Subscription Funds"</w:t>
            </w:r>
          </w:p>
        </w:tc>
        <w:tc>
          <w:tcPr>
            <w:tcW w:w="5454" w:type="dxa"/>
            <w:shd w:val="clear" w:color="auto" w:fill="auto"/>
          </w:tcPr>
          <w:p w14:paraId="57A69307" w14:textId="378A7D8A"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 xml:space="preserve">has the meaning given in clause </w:t>
            </w:r>
            <w:r w:rsidRPr="001608F0">
              <w:rPr>
                <w:rFonts w:ascii="Arial" w:hAnsi="Arial" w:cs="Arial"/>
                <w:sz w:val="20"/>
                <w:szCs w:val="20"/>
              </w:rPr>
              <w:fldChar w:fldCharType="begin"/>
            </w:r>
            <w:r w:rsidRPr="001608F0">
              <w:rPr>
                <w:rFonts w:ascii="Arial" w:hAnsi="Arial" w:cs="Arial"/>
                <w:sz w:val="20"/>
                <w:szCs w:val="20"/>
              </w:rPr>
              <w:instrText xml:space="preserve"> REF _Ref522798620 \r \h  \* MERGEFORMAT </w:instrText>
            </w:r>
            <w:r w:rsidRPr="001608F0">
              <w:rPr>
                <w:rFonts w:ascii="Arial" w:hAnsi="Arial" w:cs="Arial"/>
                <w:sz w:val="20"/>
                <w:szCs w:val="20"/>
              </w:rPr>
            </w:r>
            <w:r w:rsidRPr="001608F0">
              <w:rPr>
                <w:rFonts w:ascii="Arial" w:hAnsi="Arial" w:cs="Arial"/>
                <w:sz w:val="20"/>
                <w:szCs w:val="20"/>
              </w:rPr>
              <w:fldChar w:fldCharType="separate"/>
            </w:r>
            <w:r w:rsidR="001A485E">
              <w:rPr>
                <w:rFonts w:ascii="Arial" w:hAnsi="Arial" w:cs="Arial"/>
                <w:sz w:val="20"/>
                <w:szCs w:val="20"/>
              </w:rPr>
              <w:t>2.1</w:t>
            </w:r>
            <w:r w:rsidRPr="001608F0">
              <w:rPr>
                <w:rFonts w:ascii="Arial" w:hAnsi="Arial" w:cs="Arial"/>
                <w:sz w:val="20"/>
                <w:szCs w:val="20"/>
              </w:rPr>
              <w:fldChar w:fldCharType="end"/>
            </w:r>
            <w:r w:rsidRPr="001608F0">
              <w:rPr>
                <w:rFonts w:ascii="Arial" w:hAnsi="Arial" w:cs="Arial"/>
                <w:sz w:val="20"/>
                <w:szCs w:val="20"/>
              </w:rPr>
              <w:t>;</w:t>
            </w:r>
          </w:p>
        </w:tc>
      </w:tr>
      <w:tr w:rsidR="003A7D77" w:rsidRPr="0097073B" w14:paraId="2B79660E" w14:textId="77777777" w:rsidTr="00B640CB">
        <w:tc>
          <w:tcPr>
            <w:tcW w:w="2855" w:type="dxa"/>
            <w:shd w:val="clear" w:color="auto" w:fill="auto"/>
          </w:tcPr>
          <w:p w14:paraId="7ACD010D"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"Aggregate Advance Subscriptions"</w:t>
            </w:r>
          </w:p>
        </w:tc>
        <w:tc>
          <w:tcPr>
            <w:tcW w:w="5454" w:type="dxa"/>
            <w:shd w:val="clear" w:color="auto" w:fill="auto"/>
          </w:tcPr>
          <w:p w14:paraId="25AE5180" w14:textId="0E77C63C"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 xml:space="preserve">has the meaning given in clause </w:t>
            </w:r>
            <w:r w:rsidRPr="001608F0">
              <w:rPr>
                <w:rFonts w:ascii="Arial" w:hAnsi="Arial" w:cs="Arial"/>
                <w:sz w:val="20"/>
                <w:szCs w:val="20"/>
              </w:rPr>
              <w:fldChar w:fldCharType="begin"/>
            </w:r>
            <w:r w:rsidRPr="001608F0">
              <w:rPr>
                <w:rFonts w:ascii="Arial" w:hAnsi="Arial" w:cs="Arial"/>
                <w:sz w:val="20"/>
                <w:szCs w:val="20"/>
              </w:rPr>
              <w:instrText xml:space="preserve"> REF _Ref522798620 \r \h  \* MERGEFORMAT </w:instrText>
            </w:r>
            <w:r w:rsidRPr="001608F0">
              <w:rPr>
                <w:rFonts w:ascii="Arial" w:hAnsi="Arial" w:cs="Arial"/>
                <w:sz w:val="20"/>
                <w:szCs w:val="20"/>
              </w:rPr>
            </w:r>
            <w:r w:rsidRPr="001608F0">
              <w:rPr>
                <w:rFonts w:ascii="Arial" w:hAnsi="Arial" w:cs="Arial"/>
                <w:sz w:val="20"/>
                <w:szCs w:val="20"/>
              </w:rPr>
              <w:fldChar w:fldCharType="separate"/>
            </w:r>
            <w:r w:rsidR="001A485E">
              <w:rPr>
                <w:rFonts w:ascii="Arial" w:hAnsi="Arial" w:cs="Arial"/>
                <w:sz w:val="20"/>
                <w:szCs w:val="20"/>
              </w:rPr>
              <w:t>2.1</w:t>
            </w:r>
            <w:r w:rsidRPr="001608F0">
              <w:rPr>
                <w:rFonts w:ascii="Arial" w:hAnsi="Arial" w:cs="Arial"/>
                <w:sz w:val="20"/>
                <w:szCs w:val="20"/>
              </w:rPr>
              <w:fldChar w:fldCharType="end"/>
            </w:r>
            <w:r w:rsidRPr="001608F0">
              <w:rPr>
                <w:rFonts w:ascii="Arial" w:hAnsi="Arial" w:cs="Arial"/>
                <w:sz w:val="20"/>
                <w:szCs w:val="20"/>
              </w:rPr>
              <w:t>;</w:t>
            </w:r>
          </w:p>
        </w:tc>
      </w:tr>
      <w:tr w:rsidR="003A7D77" w:rsidRPr="0097073B" w14:paraId="3D1D9503" w14:textId="77777777" w:rsidTr="00B640CB">
        <w:tc>
          <w:tcPr>
            <w:tcW w:w="2855" w:type="dxa"/>
            <w:shd w:val="clear" w:color="auto" w:fill="auto"/>
          </w:tcPr>
          <w:p w14:paraId="6B4CF6A8"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"Articles"</w:t>
            </w:r>
          </w:p>
        </w:tc>
        <w:tc>
          <w:tcPr>
            <w:tcW w:w="5454" w:type="dxa"/>
            <w:shd w:val="clear" w:color="auto" w:fill="auto"/>
          </w:tcPr>
          <w:p w14:paraId="029F877E"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the articles of association of the Company from time to time;</w:t>
            </w:r>
          </w:p>
        </w:tc>
      </w:tr>
      <w:tr w:rsidR="003A7D77" w:rsidRPr="0097073B" w14:paraId="566ED6BB" w14:textId="77777777" w:rsidTr="00B640CB">
        <w:tc>
          <w:tcPr>
            <w:tcW w:w="2855" w:type="dxa"/>
            <w:shd w:val="clear" w:color="auto" w:fill="auto"/>
          </w:tcPr>
          <w:p w14:paraId="32EA5C53"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"Asset Sale"</w:t>
            </w:r>
          </w:p>
        </w:tc>
        <w:tc>
          <w:tcPr>
            <w:tcW w:w="5454" w:type="dxa"/>
            <w:shd w:val="clear" w:color="auto" w:fill="auto"/>
          </w:tcPr>
          <w:p w14:paraId="63E4AA87"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 the sale or transfer of the whole or substantially the whole of the undertaking or assets of the Company or any subsidiary of the Company;</w:t>
            </w:r>
          </w:p>
        </w:tc>
      </w:tr>
      <w:tr w:rsidR="003A7D77" w:rsidRPr="0097073B" w14:paraId="4BE55DAF" w14:textId="77777777" w:rsidTr="00B640CB">
        <w:tc>
          <w:tcPr>
            <w:tcW w:w="2855" w:type="dxa"/>
            <w:shd w:val="clear" w:color="auto" w:fill="auto"/>
          </w:tcPr>
          <w:p w14:paraId="7530AE07"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"Business Days"</w:t>
            </w:r>
          </w:p>
        </w:tc>
        <w:tc>
          <w:tcPr>
            <w:tcW w:w="5454" w:type="dxa"/>
            <w:shd w:val="clear" w:color="auto" w:fill="auto"/>
          </w:tcPr>
          <w:p w14:paraId="67914A89"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 a day (other than a Saturday or Sunday) on which banks are open for business in London;</w:t>
            </w:r>
          </w:p>
        </w:tc>
      </w:tr>
      <w:tr w:rsidR="003A7D77" w:rsidRPr="0097073B" w14:paraId="73CA7435" w14:textId="77777777" w:rsidTr="00B640CB">
        <w:tc>
          <w:tcPr>
            <w:tcW w:w="2855" w:type="dxa"/>
            <w:shd w:val="clear" w:color="auto" w:fill="auto"/>
          </w:tcPr>
          <w:p w14:paraId="3947DC57"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“Controlling Interest”</w:t>
            </w:r>
          </w:p>
        </w:tc>
        <w:tc>
          <w:tcPr>
            <w:tcW w:w="5454" w:type="dxa"/>
            <w:shd w:val="clear" w:color="auto" w:fill="auto"/>
          </w:tcPr>
          <w:p w14:paraId="14DCC050"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 an interest in shares giving to the holder or holders control of the Company within the meaning of section 1124 of the Corporation Tax Act 2010;</w:t>
            </w:r>
          </w:p>
        </w:tc>
      </w:tr>
      <w:tr w:rsidR="003A7D77" w:rsidRPr="0097073B" w14:paraId="1C69781B" w14:textId="77777777" w:rsidTr="00B640CB">
        <w:tc>
          <w:tcPr>
            <w:tcW w:w="2855" w:type="dxa"/>
            <w:shd w:val="clear" w:color="auto" w:fill="auto"/>
          </w:tcPr>
          <w:p w14:paraId="38D90978"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 xml:space="preserve">"Exit" </w:t>
            </w:r>
          </w:p>
        </w:tc>
        <w:tc>
          <w:tcPr>
            <w:tcW w:w="5454" w:type="dxa"/>
            <w:shd w:val="clear" w:color="auto" w:fill="auto"/>
          </w:tcPr>
          <w:p w14:paraId="794D0FF1"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 a Share Sale or an Asset Sale;</w:t>
            </w:r>
          </w:p>
        </w:tc>
      </w:tr>
      <w:tr w:rsidR="003A7D77" w:rsidRPr="0097073B" w14:paraId="57E09871" w14:textId="77777777" w:rsidTr="00B640CB">
        <w:tc>
          <w:tcPr>
            <w:tcW w:w="2855" w:type="dxa"/>
            <w:shd w:val="clear" w:color="auto" w:fill="auto"/>
          </w:tcPr>
          <w:p w14:paraId="1531587C"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"Financing Round"</w:t>
            </w:r>
          </w:p>
        </w:tc>
        <w:tc>
          <w:tcPr>
            <w:tcW w:w="5454" w:type="dxa"/>
            <w:shd w:val="clear" w:color="auto" w:fill="auto"/>
          </w:tcPr>
          <w:p w14:paraId="211C5B20"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a subscription for equity in the Company by one or more persons raising an aggregate of at least £[AMOUNT]</w:t>
            </w:r>
            <w:r w:rsidRPr="001608F0">
              <w:rPr>
                <w:rStyle w:val="FootnoteReference"/>
                <w:rFonts w:ascii="Arial" w:hAnsi="Arial" w:cs="Arial"/>
                <w:sz w:val="20"/>
                <w:szCs w:val="20"/>
              </w:rPr>
              <w:footnoteReference w:id="1"/>
            </w:r>
            <w:r w:rsidRPr="001608F0">
              <w:rPr>
                <w:rFonts w:ascii="Arial" w:hAnsi="Arial" w:cs="Arial"/>
                <w:sz w:val="20"/>
                <w:szCs w:val="20"/>
              </w:rPr>
              <w:t xml:space="preserve"> (excluding the Aggregate Advance Subscriptions), which amount can be raised in one or in a series of fundraisings on or before the Longstop Date;</w:t>
            </w:r>
          </w:p>
        </w:tc>
      </w:tr>
      <w:tr w:rsidR="003A7D77" w:rsidRPr="0097073B" w14:paraId="18E79E1A" w14:textId="77777777" w:rsidTr="00B640CB">
        <w:tc>
          <w:tcPr>
            <w:tcW w:w="2855" w:type="dxa"/>
            <w:shd w:val="clear" w:color="auto" w:fill="auto"/>
          </w:tcPr>
          <w:p w14:paraId="5E44FB45"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lastRenderedPageBreak/>
              <w:t>"Insolvency"</w:t>
            </w:r>
          </w:p>
        </w:tc>
        <w:tc>
          <w:tcPr>
            <w:tcW w:w="5454" w:type="dxa"/>
            <w:shd w:val="clear" w:color="auto" w:fill="auto"/>
          </w:tcPr>
          <w:p w14:paraId="17686634"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 a situation in which:</w:t>
            </w:r>
          </w:p>
          <w:p w14:paraId="1B258E18" w14:textId="77777777" w:rsidR="003A7D77" w:rsidRPr="0097073B" w:rsidRDefault="003A7D77" w:rsidP="003A7D77">
            <w:pPr>
              <w:pStyle w:val="LNMainL3"/>
              <w:numPr>
                <w:ilvl w:val="2"/>
                <w:numId w:val="2"/>
              </w:numPr>
              <w:tabs>
                <w:tab w:val="clear" w:pos="1440"/>
              </w:tabs>
              <w:ind w:left="720"/>
            </w:pPr>
            <w:r w:rsidRPr="0097073B">
              <w:t>an order is made for the Company's compulsory liquidation; or</w:t>
            </w:r>
          </w:p>
          <w:p w14:paraId="0AC8E0D9" w14:textId="77777777" w:rsidR="003A7D77" w:rsidRPr="0097073B" w:rsidRDefault="003A7D77" w:rsidP="00B640CB">
            <w:pPr>
              <w:pStyle w:val="LNMainL3"/>
              <w:tabs>
                <w:tab w:val="clear" w:pos="1440"/>
              </w:tabs>
              <w:ind w:left="720"/>
            </w:pPr>
            <w:r w:rsidRPr="0097073B">
              <w:t>the Company is placed into voluntary liquidation (otherwise than for the purpose of reconstruction or amalgamation); or</w:t>
            </w:r>
          </w:p>
          <w:p w14:paraId="5766AC2A" w14:textId="77777777" w:rsidR="003A7D77" w:rsidRPr="0097073B" w:rsidRDefault="003A7D77" w:rsidP="00B640CB">
            <w:pPr>
              <w:pStyle w:val="LNMainL3"/>
              <w:tabs>
                <w:tab w:val="clear" w:pos="1440"/>
              </w:tabs>
              <w:ind w:left="720"/>
            </w:pPr>
            <w:r w:rsidRPr="0097073B">
              <w:t xml:space="preserve">the Company has an administrator or receiver appointed over the whole or any part of its assets or undertaking; </w:t>
            </w:r>
          </w:p>
        </w:tc>
      </w:tr>
      <w:tr w:rsidR="003A7D77" w:rsidRPr="0097073B" w14:paraId="383D60FB" w14:textId="77777777" w:rsidTr="00B640CB">
        <w:trPr>
          <w:trHeight w:val="510"/>
        </w:trPr>
        <w:tc>
          <w:tcPr>
            <w:tcW w:w="2855" w:type="dxa"/>
            <w:shd w:val="clear" w:color="auto" w:fill="auto"/>
          </w:tcPr>
          <w:p w14:paraId="08A912EE"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"Longstop Date"</w:t>
            </w:r>
          </w:p>
        </w:tc>
        <w:tc>
          <w:tcPr>
            <w:tcW w:w="5454" w:type="dxa"/>
            <w:shd w:val="clear" w:color="auto" w:fill="auto"/>
          </w:tcPr>
          <w:p w14:paraId="5947F2E0"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 [the date falling 6 months from the date of this agreement]</w:t>
            </w:r>
            <w:r w:rsidRPr="001608F0">
              <w:rPr>
                <w:rStyle w:val="FootnoteReference"/>
                <w:rFonts w:ascii="Arial" w:hAnsi="Arial" w:cs="Arial"/>
                <w:sz w:val="20"/>
                <w:szCs w:val="20"/>
              </w:rPr>
              <w:footnoteReference w:id="2"/>
            </w:r>
            <w:r w:rsidRPr="001608F0">
              <w:rPr>
                <w:rFonts w:ascii="Arial" w:hAnsi="Arial" w:cs="Arial"/>
                <w:sz w:val="20"/>
                <w:szCs w:val="20"/>
              </w:rPr>
              <w:t>;</w:t>
            </w:r>
          </w:p>
        </w:tc>
      </w:tr>
      <w:tr w:rsidR="003A7D77" w:rsidRPr="0097073B" w14:paraId="30150D83" w14:textId="77777777" w:rsidTr="00B640CB">
        <w:trPr>
          <w:trHeight w:val="510"/>
        </w:trPr>
        <w:tc>
          <w:tcPr>
            <w:tcW w:w="2855" w:type="dxa"/>
            <w:shd w:val="clear" w:color="auto" w:fill="auto"/>
          </w:tcPr>
          <w:p w14:paraId="25BE3C5A"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 xml:space="preserve">"Next Round Share" </w:t>
            </w:r>
          </w:p>
        </w:tc>
        <w:tc>
          <w:tcPr>
            <w:tcW w:w="5454" w:type="dxa"/>
            <w:shd w:val="clear" w:color="auto" w:fill="auto"/>
          </w:tcPr>
          <w:p w14:paraId="0E1E00E5"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 xml:space="preserve">means, in respect of a Financing Round, the most senior class of share issued in such Financing Round; </w:t>
            </w:r>
          </w:p>
        </w:tc>
      </w:tr>
      <w:tr w:rsidR="003A7D77" w:rsidRPr="0097073B" w14:paraId="1459E2DF" w14:textId="77777777" w:rsidTr="00B640CB">
        <w:trPr>
          <w:trHeight w:val="510"/>
        </w:trPr>
        <w:tc>
          <w:tcPr>
            <w:tcW w:w="2855" w:type="dxa"/>
            <w:shd w:val="clear" w:color="auto" w:fill="auto"/>
          </w:tcPr>
          <w:p w14:paraId="32B41689"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"Ordinary Shares"</w:t>
            </w:r>
          </w:p>
        </w:tc>
        <w:tc>
          <w:tcPr>
            <w:tcW w:w="5454" w:type="dxa"/>
            <w:shd w:val="clear" w:color="auto" w:fill="auto"/>
          </w:tcPr>
          <w:p w14:paraId="41D1453C"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 the ordinary shares of £[AMOUNT]</w:t>
            </w:r>
            <w:r w:rsidRPr="001608F0">
              <w:rPr>
                <w:rStyle w:val="FootnoteReference"/>
                <w:rFonts w:ascii="Arial" w:hAnsi="Arial" w:cs="Arial"/>
                <w:sz w:val="20"/>
                <w:szCs w:val="20"/>
              </w:rPr>
              <w:footnoteReference w:id="3"/>
            </w:r>
            <w:r w:rsidRPr="001608F0">
              <w:rPr>
                <w:rFonts w:ascii="Arial" w:hAnsi="Arial" w:cs="Arial"/>
                <w:sz w:val="20"/>
                <w:szCs w:val="20"/>
              </w:rPr>
              <w:t xml:space="preserve"> each in the capital of the Company;</w:t>
            </w:r>
          </w:p>
        </w:tc>
      </w:tr>
      <w:tr w:rsidR="003A7D77" w:rsidRPr="0097073B" w14:paraId="5E12FF2B" w14:textId="77777777" w:rsidTr="00B640CB">
        <w:tc>
          <w:tcPr>
            <w:tcW w:w="2855" w:type="dxa"/>
            <w:shd w:val="clear" w:color="auto" w:fill="auto"/>
          </w:tcPr>
          <w:p w14:paraId="576130D8"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"Share Sale"</w:t>
            </w:r>
          </w:p>
        </w:tc>
        <w:tc>
          <w:tcPr>
            <w:tcW w:w="5454" w:type="dxa"/>
            <w:shd w:val="clear" w:color="auto" w:fill="auto"/>
          </w:tcPr>
          <w:p w14:paraId="469BB246"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 the sale of any of the shares in the capital of the Company (in one transaction or as a series of transactions) which will result in the purchaser of those shares and persons Acting in Concert with him together acquiring a Controlling Interest in the Company, except where following completion of the sale the shareholders and the proportion of shares held by each of them are the same as the shareholders and their shareholdings in the Company immediately prior to the sale</w:t>
            </w:r>
            <w:r w:rsidRPr="001608F0">
              <w:rPr>
                <w:rStyle w:val="FootnoteReference"/>
                <w:rFonts w:ascii="Arial" w:hAnsi="Arial" w:cs="Arial"/>
                <w:sz w:val="20"/>
                <w:szCs w:val="20"/>
              </w:rPr>
              <w:footnoteReference w:id="4"/>
            </w:r>
            <w:r w:rsidRPr="001608F0">
              <w:rPr>
                <w:rFonts w:ascii="Arial" w:hAnsi="Arial" w:cs="Arial"/>
                <w:sz w:val="20"/>
                <w:szCs w:val="20"/>
              </w:rPr>
              <w:t>;</w:t>
            </w:r>
          </w:p>
        </w:tc>
      </w:tr>
      <w:tr w:rsidR="003A7D77" w:rsidRPr="0097073B" w14:paraId="56F3131C" w14:textId="77777777" w:rsidTr="00B640CB">
        <w:tc>
          <w:tcPr>
            <w:tcW w:w="2855" w:type="dxa"/>
            <w:shd w:val="clear" w:color="auto" w:fill="auto"/>
          </w:tcPr>
          <w:p w14:paraId="19D4095D"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t>"Subscription Price"</w:t>
            </w:r>
          </w:p>
        </w:tc>
        <w:tc>
          <w:tcPr>
            <w:tcW w:w="5454" w:type="dxa"/>
            <w:shd w:val="clear" w:color="auto" w:fill="auto"/>
          </w:tcPr>
          <w:p w14:paraId="7677E81C"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 xml:space="preserve">means: </w:t>
            </w:r>
          </w:p>
          <w:p w14:paraId="71106445" w14:textId="07F3C10F" w:rsidR="003A7D77" w:rsidRPr="0097073B" w:rsidRDefault="003A7D77" w:rsidP="003A7D77">
            <w:pPr>
              <w:pStyle w:val="LNMainL3"/>
              <w:numPr>
                <w:ilvl w:val="2"/>
                <w:numId w:val="7"/>
              </w:numPr>
              <w:tabs>
                <w:tab w:val="clear" w:pos="1440"/>
              </w:tabs>
              <w:ind w:left="673"/>
            </w:pPr>
            <w:r w:rsidRPr="0097073B">
              <w:t xml:space="preserve">where the subscription takes place pursuant to clause </w:t>
            </w:r>
            <w:r w:rsidRPr="0097073B">
              <w:fldChar w:fldCharType="begin"/>
            </w:r>
            <w:r w:rsidRPr="0097073B">
              <w:instrText xml:space="preserve"> REF _Ref522799108 \r \h  \* MERGEFORMAT </w:instrText>
            </w:r>
            <w:r w:rsidRPr="0097073B">
              <w:fldChar w:fldCharType="separate"/>
            </w:r>
            <w:r w:rsidR="001A485E">
              <w:t>3.1(a)</w:t>
            </w:r>
            <w:r w:rsidRPr="0097073B">
              <w:fldChar w:fldCharType="end"/>
            </w:r>
            <w:r w:rsidRPr="0097073B">
              <w:t>, a price per Subscription Share equal to the lower of:</w:t>
            </w:r>
          </w:p>
          <w:p w14:paraId="1CE38CB3" w14:textId="77777777" w:rsidR="003A7D77" w:rsidRPr="0097073B" w:rsidRDefault="003A7D77" w:rsidP="003A7D77">
            <w:pPr>
              <w:pStyle w:val="LNMainL4"/>
              <w:numPr>
                <w:ilvl w:val="3"/>
                <w:numId w:val="5"/>
              </w:numPr>
              <w:tabs>
                <w:tab w:val="clear" w:pos="2160"/>
              </w:tabs>
              <w:ind w:left="1392" w:hanging="709"/>
            </w:pPr>
            <w:r w:rsidRPr="0097073B">
              <w:t>a discount of [NUMBER]</w:t>
            </w:r>
            <w:r w:rsidRPr="0097073B">
              <w:rPr>
                <w:rStyle w:val="FootnoteReference"/>
              </w:rPr>
              <w:footnoteReference w:id="5"/>
            </w:r>
            <w:r w:rsidRPr="0097073B">
              <w:t>% on the price paid per Next Round Share; or</w:t>
            </w:r>
          </w:p>
          <w:p w14:paraId="60997C94" w14:textId="77777777" w:rsidR="003A7D77" w:rsidRPr="0097073B" w:rsidRDefault="003A7D77" w:rsidP="003A7D77">
            <w:pPr>
              <w:pStyle w:val="LNMainL4"/>
              <w:numPr>
                <w:ilvl w:val="3"/>
                <w:numId w:val="5"/>
              </w:numPr>
              <w:tabs>
                <w:tab w:val="clear" w:pos="2160"/>
              </w:tabs>
              <w:ind w:left="1392" w:hanging="709"/>
            </w:pPr>
            <w:r w:rsidRPr="0097073B">
              <w:t>a price per share based on a post-money valuation of £[AMOUNT]</w:t>
            </w:r>
            <w:r w:rsidRPr="0097073B">
              <w:rPr>
                <w:rStyle w:val="FootnoteReference"/>
              </w:rPr>
              <w:footnoteReference w:id="6"/>
            </w:r>
            <w:r w:rsidRPr="0097073B">
              <w:t xml:space="preserve"> divided by the fully diluted share capital of the Company immediately prior to the Financing Round </w:t>
            </w:r>
            <w:r w:rsidRPr="0097073B">
              <w:lastRenderedPageBreak/>
              <w:t>(excluding (</w:t>
            </w:r>
            <w:proofErr w:type="spellStart"/>
            <w:r w:rsidRPr="0097073B">
              <w:t>i</w:t>
            </w:r>
            <w:proofErr w:type="spellEnd"/>
            <w:r w:rsidRPr="0097073B">
              <w:t>) any securities to be issued pursuant to the application of the Aggregate Advance Subscriptions or on the Financing Round and/or (ii) any increase in the Company’s share option pool required in connection with the Financing Round); or</w:t>
            </w:r>
          </w:p>
          <w:p w14:paraId="7B4D1387" w14:textId="0F2E83E2" w:rsidR="003A7D77" w:rsidRPr="0097073B" w:rsidRDefault="003A7D77" w:rsidP="003A7D77">
            <w:pPr>
              <w:pStyle w:val="LNMainL3"/>
              <w:numPr>
                <w:ilvl w:val="2"/>
                <w:numId w:val="5"/>
              </w:numPr>
              <w:tabs>
                <w:tab w:val="clear" w:pos="1440"/>
              </w:tabs>
              <w:ind w:left="683" w:hanging="683"/>
              <w:rPr>
                <w:color w:val="FF0000"/>
              </w:rPr>
            </w:pPr>
            <w:r w:rsidRPr="0097073B">
              <w:t xml:space="preserve">where the subscription takes place pursuant to clauses </w:t>
            </w:r>
            <w:r w:rsidRPr="0097073B">
              <w:fldChar w:fldCharType="begin"/>
            </w:r>
            <w:r w:rsidRPr="0097073B">
              <w:instrText xml:space="preserve"> REF _Ref522800085 \r \h  \* MERGEFORMAT </w:instrText>
            </w:r>
            <w:r w:rsidRPr="0097073B">
              <w:fldChar w:fldCharType="separate"/>
            </w:r>
            <w:r w:rsidR="001A485E">
              <w:t>3.1(b)</w:t>
            </w:r>
            <w:r w:rsidRPr="0097073B">
              <w:fldChar w:fldCharType="end"/>
            </w:r>
            <w:r w:rsidRPr="0097073B">
              <w:t xml:space="preserve">, </w:t>
            </w:r>
            <w:r w:rsidRPr="0097073B">
              <w:fldChar w:fldCharType="begin"/>
            </w:r>
            <w:r w:rsidRPr="0097073B">
              <w:instrText xml:space="preserve"> REF _Ref522799110 \r \h  \* MERGEFORMAT </w:instrText>
            </w:r>
            <w:r w:rsidRPr="0097073B">
              <w:fldChar w:fldCharType="separate"/>
            </w:r>
            <w:r w:rsidR="001A485E">
              <w:t>3.1(c)</w:t>
            </w:r>
            <w:r w:rsidRPr="0097073B">
              <w:fldChar w:fldCharType="end"/>
            </w:r>
            <w:r w:rsidRPr="0097073B">
              <w:t xml:space="preserve"> or </w:t>
            </w:r>
            <w:r w:rsidRPr="0097073B">
              <w:fldChar w:fldCharType="begin"/>
            </w:r>
            <w:r w:rsidRPr="0097073B">
              <w:instrText xml:space="preserve"> REF _Ref522800091 \r \h  \* MERGEFORMAT </w:instrText>
            </w:r>
            <w:r w:rsidRPr="0097073B">
              <w:fldChar w:fldCharType="separate"/>
            </w:r>
            <w:r w:rsidR="001A485E">
              <w:t>3.1(d)</w:t>
            </w:r>
            <w:r w:rsidRPr="0097073B">
              <w:fldChar w:fldCharType="end"/>
            </w:r>
            <w:r w:rsidRPr="0097073B">
              <w:t>, at a price per Subscription Share equal to a price per share based on a post-money valuation of £[AMOUNT]</w:t>
            </w:r>
            <w:r w:rsidRPr="0097073B">
              <w:rPr>
                <w:rStyle w:val="FootnoteReference"/>
              </w:rPr>
              <w:footnoteReference w:id="7"/>
            </w:r>
            <w:r w:rsidRPr="0097073B">
              <w:t xml:space="preserve"> divided by the fully diluted share capital of the Company immediately prior to the Exit, the Longstop Date or the event of an Insolvency (as the case may be) (excluding any securities to be issued pursuant to the application of the Aggregate Advance Subscriptions);</w:t>
            </w:r>
          </w:p>
        </w:tc>
      </w:tr>
      <w:tr w:rsidR="003A7D77" w:rsidRPr="0097073B" w14:paraId="155AF9C0" w14:textId="77777777" w:rsidTr="00B640CB">
        <w:tc>
          <w:tcPr>
            <w:tcW w:w="2855" w:type="dxa"/>
            <w:shd w:val="clear" w:color="auto" w:fill="auto"/>
          </w:tcPr>
          <w:p w14:paraId="4630F6C2" w14:textId="77777777" w:rsidR="003A7D77" w:rsidRPr="001608F0" w:rsidRDefault="003A7D77" w:rsidP="00B640CB">
            <w:pPr>
              <w:overflowPunct w:val="0"/>
              <w:autoSpaceDE w:val="0"/>
              <w:autoSpaceDN w:val="0"/>
              <w:adjustRightInd w:val="0"/>
              <w:rPr>
                <w:rFonts w:ascii="Arial" w:hAnsi="Arial" w:cs="Arial"/>
                <w:b/>
                <w:bCs/>
                <w:sz w:val="20"/>
                <w:szCs w:val="20"/>
              </w:rPr>
            </w:pPr>
            <w:r w:rsidRPr="001608F0">
              <w:rPr>
                <w:rFonts w:ascii="Arial" w:hAnsi="Arial" w:cs="Arial"/>
                <w:b/>
                <w:bCs/>
                <w:sz w:val="20"/>
                <w:szCs w:val="20"/>
              </w:rPr>
              <w:lastRenderedPageBreak/>
              <w:t>"Subscription Shares"</w:t>
            </w:r>
            <w:r w:rsidRPr="001608F0">
              <w:rPr>
                <w:rStyle w:val="FootnoteReference"/>
                <w:rFonts w:ascii="Arial" w:hAnsi="Arial" w:cs="Arial"/>
                <w:b/>
                <w:bCs/>
                <w:sz w:val="20"/>
                <w:szCs w:val="20"/>
              </w:rPr>
              <w:footnoteReference w:id="8"/>
            </w:r>
          </w:p>
        </w:tc>
        <w:tc>
          <w:tcPr>
            <w:tcW w:w="5454" w:type="dxa"/>
            <w:shd w:val="clear" w:color="auto" w:fill="auto"/>
          </w:tcPr>
          <w:p w14:paraId="5F77454B" w14:textId="77777777" w:rsidR="003A7D77" w:rsidRPr="001608F0" w:rsidRDefault="003A7D77" w:rsidP="00B640CB">
            <w:pPr>
              <w:overflowPunct w:val="0"/>
              <w:autoSpaceDE w:val="0"/>
              <w:autoSpaceDN w:val="0"/>
              <w:adjustRightInd w:val="0"/>
              <w:rPr>
                <w:rFonts w:ascii="Arial" w:hAnsi="Arial" w:cs="Arial"/>
                <w:sz w:val="20"/>
                <w:szCs w:val="20"/>
              </w:rPr>
            </w:pPr>
            <w:r w:rsidRPr="001608F0">
              <w:rPr>
                <w:rFonts w:ascii="Arial" w:hAnsi="Arial" w:cs="Arial"/>
                <w:sz w:val="20"/>
                <w:szCs w:val="20"/>
              </w:rPr>
              <w:t>means:</w:t>
            </w:r>
          </w:p>
          <w:p w14:paraId="7DAA3FC2" w14:textId="64736010" w:rsidR="003A7D77" w:rsidRPr="0097073B" w:rsidRDefault="003A7D77" w:rsidP="003A7D77">
            <w:pPr>
              <w:pStyle w:val="LNMainL3"/>
              <w:numPr>
                <w:ilvl w:val="2"/>
                <w:numId w:val="6"/>
              </w:numPr>
              <w:tabs>
                <w:tab w:val="clear" w:pos="1440"/>
              </w:tabs>
              <w:ind w:left="673"/>
            </w:pPr>
            <w:r w:rsidRPr="0097073B">
              <w:t xml:space="preserve">in the case of shares issued pursuant to clause </w:t>
            </w:r>
            <w:r w:rsidRPr="0097073B">
              <w:fldChar w:fldCharType="begin"/>
            </w:r>
            <w:r w:rsidRPr="0097073B">
              <w:instrText xml:space="preserve"> REF _Ref522799108 \r \h  \* MERGEFORMAT </w:instrText>
            </w:r>
            <w:r w:rsidRPr="0097073B">
              <w:fldChar w:fldCharType="separate"/>
            </w:r>
            <w:r w:rsidR="001A485E">
              <w:t>3.1(a)</w:t>
            </w:r>
            <w:r w:rsidRPr="0097073B">
              <w:fldChar w:fldCharType="end"/>
            </w:r>
            <w:r w:rsidRPr="0097073B">
              <w:t>, either the Next Round Shares or, if the Subscriber so elects, the Ordinary Shares; or</w:t>
            </w:r>
          </w:p>
          <w:p w14:paraId="075CFCCD" w14:textId="7DF4AE29" w:rsidR="003A7D77" w:rsidRPr="0097073B" w:rsidRDefault="003A7D77" w:rsidP="003A7D77">
            <w:pPr>
              <w:pStyle w:val="LNMainL3"/>
              <w:numPr>
                <w:ilvl w:val="2"/>
                <w:numId w:val="5"/>
              </w:numPr>
              <w:tabs>
                <w:tab w:val="clear" w:pos="1440"/>
              </w:tabs>
              <w:ind w:left="683" w:hanging="683"/>
            </w:pPr>
            <w:r w:rsidRPr="0097073B">
              <w:t xml:space="preserve">in the case of shares issued pursuant to clauses </w:t>
            </w:r>
            <w:r w:rsidRPr="0097073B">
              <w:fldChar w:fldCharType="begin"/>
            </w:r>
            <w:r w:rsidRPr="0097073B">
              <w:instrText xml:space="preserve"> REF _Ref522800085 \r \h  \* MERGEFORMAT </w:instrText>
            </w:r>
            <w:r w:rsidRPr="0097073B">
              <w:fldChar w:fldCharType="separate"/>
            </w:r>
            <w:r w:rsidR="001A485E">
              <w:t>3.1(b)</w:t>
            </w:r>
            <w:r w:rsidRPr="0097073B">
              <w:fldChar w:fldCharType="end"/>
            </w:r>
            <w:r w:rsidRPr="0097073B">
              <w:t xml:space="preserve">, </w:t>
            </w:r>
            <w:r w:rsidRPr="0097073B">
              <w:fldChar w:fldCharType="begin"/>
            </w:r>
            <w:r w:rsidRPr="0097073B">
              <w:instrText xml:space="preserve"> REF _Ref522799110 \r \h  \* MERGEFORMAT </w:instrText>
            </w:r>
            <w:r w:rsidRPr="0097073B">
              <w:fldChar w:fldCharType="separate"/>
            </w:r>
            <w:r w:rsidR="001A485E">
              <w:t>3.1(c)</w:t>
            </w:r>
            <w:r w:rsidRPr="0097073B">
              <w:fldChar w:fldCharType="end"/>
            </w:r>
            <w:r w:rsidRPr="0097073B">
              <w:t xml:space="preserve"> or </w:t>
            </w:r>
            <w:r w:rsidRPr="0097073B">
              <w:fldChar w:fldCharType="begin"/>
            </w:r>
            <w:r w:rsidRPr="0097073B">
              <w:instrText xml:space="preserve"> REF _Ref522800091 \r \h  \* MERGEFORMAT </w:instrText>
            </w:r>
            <w:r w:rsidRPr="0097073B">
              <w:fldChar w:fldCharType="separate"/>
            </w:r>
            <w:r w:rsidR="001A485E">
              <w:t>3.1(d)</w:t>
            </w:r>
            <w:r w:rsidRPr="0097073B">
              <w:fldChar w:fldCharType="end"/>
            </w:r>
            <w:r w:rsidRPr="0097073B">
              <w:t xml:space="preserve">, Ordinary Shares.  </w:t>
            </w:r>
          </w:p>
        </w:tc>
      </w:tr>
    </w:tbl>
    <w:p w14:paraId="5E2BF3D8" w14:textId="77777777" w:rsidR="003A7D77" w:rsidRPr="008C1F68" w:rsidRDefault="003A7D77" w:rsidP="003A7D77">
      <w:pPr>
        <w:pStyle w:val="LNMainL2"/>
        <w:numPr>
          <w:ilvl w:val="0"/>
          <w:numId w:val="0"/>
        </w:numPr>
        <w:ind w:left="720"/>
      </w:pPr>
    </w:p>
    <w:p w14:paraId="57368F0B" w14:textId="77777777" w:rsidR="003A7D77" w:rsidRDefault="003A7D77" w:rsidP="003A7D77">
      <w:pPr>
        <w:pStyle w:val="LNMainL2"/>
      </w:pPr>
      <w:r w:rsidRPr="008C1F68">
        <w:t>In this agreement, references to a party include its successors in title, transferees and assignees.</w:t>
      </w:r>
    </w:p>
    <w:p w14:paraId="631A7036" w14:textId="77777777" w:rsidR="003A7D77" w:rsidRPr="008C1F68" w:rsidRDefault="003A7D77" w:rsidP="003A7D77">
      <w:pPr>
        <w:pStyle w:val="LNMainL2"/>
      </w:pPr>
      <w:r>
        <w:t xml:space="preserve">In this agreement, references to each gender includes the other genders. </w:t>
      </w:r>
    </w:p>
    <w:p w14:paraId="084FB1F2" w14:textId="77777777" w:rsidR="003A7D77" w:rsidRPr="008C1F68" w:rsidRDefault="003A7D77" w:rsidP="003A7D77">
      <w:pPr>
        <w:pStyle w:val="LNMainL1"/>
      </w:pPr>
      <w:r w:rsidRPr="008C1F68">
        <w:t>ADVANCE SUBSCRIPTION</w:t>
      </w:r>
    </w:p>
    <w:p w14:paraId="746A3AB9" w14:textId="77777777" w:rsidR="003A7D77" w:rsidRPr="001608F0" w:rsidRDefault="003A7D77" w:rsidP="003A7D77">
      <w:pPr>
        <w:pStyle w:val="LNMainL2"/>
        <w:rPr>
          <w:iCs/>
        </w:rPr>
      </w:pPr>
      <w:bookmarkStart w:id="3" w:name="_Ref389219842"/>
      <w:bookmarkStart w:id="4" w:name="_Ref522798620"/>
      <w:r w:rsidRPr="001608F0">
        <w:rPr>
          <w:iCs/>
        </w:rPr>
        <w:t xml:space="preserve">Advance </w:t>
      </w:r>
      <w:bookmarkEnd w:id="3"/>
      <w:r w:rsidRPr="001608F0">
        <w:rPr>
          <w:iCs/>
        </w:rPr>
        <w:t>Subscription</w:t>
      </w:r>
      <w:bookmarkEnd w:id="4"/>
    </w:p>
    <w:p w14:paraId="2A5BB2AF" w14:textId="77777777" w:rsidR="003A7D77" w:rsidRPr="008C1F68" w:rsidRDefault="003A7D77" w:rsidP="003A7D77">
      <w:pPr>
        <w:pStyle w:val="LNMainL2"/>
        <w:numPr>
          <w:ilvl w:val="0"/>
          <w:numId w:val="0"/>
        </w:numPr>
        <w:ind w:left="720"/>
      </w:pPr>
      <w:r w:rsidRPr="008C1F68">
        <w:t>Subject to the terms of this agreement, on the Advance Date, the Subscriber made available to the Company funds in an aggregate amount of £[</w:t>
      </w:r>
      <w:r>
        <w:t>AMOUNT</w:t>
      </w:r>
      <w:r w:rsidRPr="008C1F68">
        <w:t>] (the "</w:t>
      </w:r>
      <w:r w:rsidRPr="008C1F68">
        <w:rPr>
          <w:b/>
        </w:rPr>
        <w:t>Advance Subscription Funds</w:t>
      </w:r>
      <w:r w:rsidRPr="008C1F68">
        <w:t>"). The Company may issue similar agreements with other investors for advance subscriptions which, together with the Advance Subscription Funds, aggregate up to £[</w:t>
      </w:r>
      <w:r>
        <w:t>AMOUNT</w:t>
      </w:r>
      <w:r w:rsidRPr="008C1F68">
        <w:t>] (the "</w:t>
      </w:r>
      <w:r w:rsidRPr="008C1F68">
        <w:rPr>
          <w:b/>
        </w:rPr>
        <w:t>Aggregate</w:t>
      </w:r>
      <w:r w:rsidRPr="008C1F68">
        <w:t xml:space="preserve"> </w:t>
      </w:r>
      <w:r w:rsidRPr="008C1F68">
        <w:rPr>
          <w:b/>
        </w:rPr>
        <w:t>Advance Subscriptions</w:t>
      </w:r>
      <w:r w:rsidRPr="008C1F68">
        <w:t>").</w:t>
      </w:r>
    </w:p>
    <w:p w14:paraId="1AE2B792" w14:textId="77777777" w:rsidR="003A7D77" w:rsidRPr="001608F0" w:rsidRDefault="003A7D77" w:rsidP="003A7D77">
      <w:pPr>
        <w:pStyle w:val="LNMainL2"/>
        <w:rPr>
          <w:iCs/>
        </w:rPr>
      </w:pPr>
      <w:r w:rsidRPr="001608F0">
        <w:rPr>
          <w:iCs/>
        </w:rPr>
        <w:t>Purpose</w:t>
      </w:r>
    </w:p>
    <w:p w14:paraId="06A92745" w14:textId="77777777" w:rsidR="003A7D77" w:rsidRPr="008C1F68" w:rsidRDefault="003A7D77" w:rsidP="003A7D77">
      <w:pPr>
        <w:pStyle w:val="LNMainL2"/>
        <w:numPr>
          <w:ilvl w:val="0"/>
          <w:numId w:val="0"/>
        </w:numPr>
        <w:ind w:left="720"/>
      </w:pPr>
      <w:r w:rsidRPr="008C1F68">
        <w:lastRenderedPageBreak/>
        <w:t>The Company will apply the Advance Subscription Funds towards growing</w:t>
      </w:r>
      <w:r>
        <w:t xml:space="preserve"> and developing</w:t>
      </w:r>
      <w:r w:rsidRPr="008C1F68">
        <w:t xml:space="preserve"> the business of the Company in accordance with the Company's business plan.  </w:t>
      </w:r>
    </w:p>
    <w:p w14:paraId="225443A1" w14:textId="77777777" w:rsidR="003A7D77" w:rsidRPr="001608F0" w:rsidRDefault="003A7D77" w:rsidP="003A7D77">
      <w:pPr>
        <w:pStyle w:val="LNMainL2"/>
        <w:rPr>
          <w:iCs/>
        </w:rPr>
      </w:pPr>
      <w:r w:rsidRPr="001608F0">
        <w:rPr>
          <w:iCs/>
        </w:rPr>
        <w:t>Payment</w:t>
      </w:r>
    </w:p>
    <w:p w14:paraId="15B34EDC" w14:textId="77777777" w:rsidR="003A7D77" w:rsidRPr="008C1F68" w:rsidRDefault="003A7D77" w:rsidP="003A7D77">
      <w:pPr>
        <w:pStyle w:val="LNMainL2"/>
        <w:numPr>
          <w:ilvl w:val="0"/>
          <w:numId w:val="0"/>
        </w:numPr>
        <w:ind w:left="720"/>
      </w:pPr>
      <w:r w:rsidRPr="008C1F68">
        <w:t>The Advance Subscription Funds shall be paid to the following bank account held by the Company (or such other account as the Company and Subscriber may agree) on or around the Advance Date:</w:t>
      </w:r>
    </w:p>
    <w:tbl>
      <w:tblPr>
        <w:tblStyle w:val="TableGrid"/>
        <w:tblW w:w="857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5771"/>
      </w:tblGrid>
      <w:tr w:rsidR="003A7D77" w14:paraId="659D1B8C" w14:textId="77777777" w:rsidTr="00B640CB">
        <w:trPr>
          <w:trHeight w:val="453"/>
        </w:trPr>
        <w:tc>
          <w:tcPr>
            <w:tcW w:w="2808" w:type="dxa"/>
          </w:tcPr>
          <w:p w14:paraId="1AE4F975" w14:textId="77777777" w:rsidR="003A7D77" w:rsidRPr="008C1F68" w:rsidRDefault="003A7D77" w:rsidP="00B640CB">
            <w:pPr>
              <w:pStyle w:val="LNMainL2"/>
              <w:numPr>
                <w:ilvl w:val="0"/>
                <w:numId w:val="0"/>
              </w:numPr>
              <w:spacing w:after="200"/>
            </w:pPr>
            <w:r w:rsidRPr="008C1F68">
              <w:t xml:space="preserve">Name of Bank: </w:t>
            </w:r>
          </w:p>
        </w:tc>
        <w:tc>
          <w:tcPr>
            <w:tcW w:w="5771" w:type="dxa"/>
          </w:tcPr>
          <w:p w14:paraId="5D42C56F" w14:textId="77777777" w:rsidR="003A7D77" w:rsidRPr="008C1F68" w:rsidRDefault="003A7D77" w:rsidP="00B640CB">
            <w:pPr>
              <w:pStyle w:val="LNMainL2"/>
              <w:numPr>
                <w:ilvl w:val="0"/>
                <w:numId w:val="0"/>
              </w:numPr>
              <w:spacing w:after="200"/>
            </w:pPr>
            <w:r w:rsidRPr="008C1F68">
              <w:t>[•]</w:t>
            </w:r>
          </w:p>
        </w:tc>
      </w:tr>
      <w:tr w:rsidR="003A7D77" w14:paraId="4F61745A" w14:textId="77777777" w:rsidTr="00B640CB">
        <w:trPr>
          <w:trHeight w:val="453"/>
        </w:trPr>
        <w:tc>
          <w:tcPr>
            <w:tcW w:w="2808" w:type="dxa"/>
          </w:tcPr>
          <w:p w14:paraId="5736BD19" w14:textId="77777777" w:rsidR="003A7D77" w:rsidRPr="008C1F68" w:rsidRDefault="003A7D77" w:rsidP="00B640CB">
            <w:pPr>
              <w:pStyle w:val="LNMainL2"/>
              <w:numPr>
                <w:ilvl w:val="0"/>
                <w:numId w:val="0"/>
              </w:numPr>
              <w:spacing w:after="200"/>
            </w:pPr>
            <w:r w:rsidRPr="008C1F68">
              <w:t>Account name:</w:t>
            </w:r>
          </w:p>
        </w:tc>
        <w:tc>
          <w:tcPr>
            <w:tcW w:w="5771" w:type="dxa"/>
          </w:tcPr>
          <w:p w14:paraId="6A014FDB" w14:textId="77777777" w:rsidR="003A7D77" w:rsidRPr="008C1F68" w:rsidRDefault="003A7D77" w:rsidP="00B640CB">
            <w:pPr>
              <w:pStyle w:val="LNMainL2"/>
              <w:numPr>
                <w:ilvl w:val="0"/>
                <w:numId w:val="0"/>
              </w:numPr>
              <w:spacing w:after="200"/>
            </w:pPr>
            <w:r w:rsidRPr="008C1F68">
              <w:t>[•]</w:t>
            </w:r>
          </w:p>
        </w:tc>
      </w:tr>
      <w:tr w:rsidR="003A7D77" w14:paraId="513D8F01" w14:textId="77777777" w:rsidTr="00B640CB">
        <w:trPr>
          <w:trHeight w:val="453"/>
        </w:trPr>
        <w:tc>
          <w:tcPr>
            <w:tcW w:w="2808" w:type="dxa"/>
          </w:tcPr>
          <w:p w14:paraId="68B97AD5" w14:textId="77777777" w:rsidR="003A7D77" w:rsidRPr="008C1F68" w:rsidRDefault="003A7D77" w:rsidP="00B640CB">
            <w:pPr>
              <w:pStyle w:val="LNMainL2"/>
              <w:numPr>
                <w:ilvl w:val="0"/>
                <w:numId w:val="0"/>
              </w:numPr>
              <w:spacing w:after="200"/>
            </w:pPr>
            <w:r w:rsidRPr="008C1F68">
              <w:t xml:space="preserve">Sort Code: </w:t>
            </w:r>
          </w:p>
        </w:tc>
        <w:tc>
          <w:tcPr>
            <w:tcW w:w="5771" w:type="dxa"/>
          </w:tcPr>
          <w:p w14:paraId="2EAA2AED" w14:textId="77777777" w:rsidR="003A7D77" w:rsidRPr="008C1F68" w:rsidRDefault="003A7D77" w:rsidP="00B640CB">
            <w:pPr>
              <w:pStyle w:val="LNMainL2"/>
              <w:numPr>
                <w:ilvl w:val="0"/>
                <w:numId w:val="0"/>
              </w:numPr>
              <w:spacing w:after="200"/>
            </w:pPr>
            <w:r w:rsidRPr="008C1F68">
              <w:t>[•]</w:t>
            </w:r>
          </w:p>
        </w:tc>
      </w:tr>
      <w:tr w:rsidR="003A7D77" w14:paraId="3AC60D77" w14:textId="77777777" w:rsidTr="00B640CB">
        <w:trPr>
          <w:trHeight w:val="453"/>
        </w:trPr>
        <w:tc>
          <w:tcPr>
            <w:tcW w:w="2808" w:type="dxa"/>
          </w:tcPr>
          <w:p w14:paraId="41A3E916" w14:textId="77777777" w:rsidR="003A7D77" w:rsidRPr="008C1F68" w:rsidRDefault="003A7D77" w:rsidP="00B640CB">
            <w:pPr>
              <w:pStyle w:val="LNMainL2"/>
              <w:numPr>
                <w:ilvl w:val="0"/>
                <w:numId w:val="0"/>
              </w:numPr>
              <w:spacing w:after="200"/>
            </w:pPr>
            <w:r w:rsidRPr="008C1F68">
              <w:t xml:space="preserve">Account Number: </w:t>
            </w:r>
          </w:p>
        </w:tc>
        <w:tc>
          <w:tcPr>
            <w:tcW w:w="5771" w:type="dxa"/>
          </w:tcPr>
          <w:p w14:paraId="4831D505" w14:textId="77777777" w:rsidR="003A7D77" w:rsidRPr="008C1F68" w:rsidRDefault="003A7D77" w:rsidP="00B640CB">
            <w:pPr>
              <w:pStyle w:val="LNMainL2"/>
              <w:numPr>
                <w:ilvl w:val="0"/>
                <w:numId w:val="0"/>
              </w:numPr>
              <w:spacing w:after="200"/>
            </w:pPr>
            <w:r w:rsidRPr="008C1F68">
              <w:t>[•]</w:t>
            </w:r>
          </w:p>
        </w:tc>
      </w:tr>
      <w:tr w:rsidR="003A7D77" w14:paraId="5C2903C6" w14:textId="77777777" w:rsidTr="00B640CB">
        <w:trPr>
          <w:trHeight w:val="453"/>
        </w:trPr>
        <w:tc>
          <w:tcPr>
            <w:tcW w:w="2808" w:type="dxa"/>
          </w:tcPr>
          <w:p w14:paraId="5AFF503E" w14:textId="77777777" w:rsidR="003A7D77" w:rsidRPr="008C1F68" w:rsidRDefault="003A7D77" w:rsidP="00B640CB">
            <w:pPr>
              <w:pStyle w:val="LNMainL2"/>
              <w:numPr>
                <w:ilvl w:val="0"/>
                <w:numId w:val="0"/>
              </w:numPr>
              <w:spacing w:after="200"/>
            </w:pPr>
            <w:r w:rsidRPr="008C1F68">
              <w:t>BIC Number:</w:t>
            </w:r>
          </w:p>
        </w:tc>
        <w:tc>
          <w:tcPr>
            <w:tcW w:w="5771" w:type="dxa"/>
          </w:tcPr>
          <w:p w14:paraId="0FB63557" w14:textId="77777777" w:rsidR="003A7D77" w:rsidRPr="008C1F68" w:rsidRDefault="003A7D77" w:rsidP="00B640CB">
            <w:pPr>
              <w:pStyle w:val="LNMainL2"/>
              <w:numPr>
                <w:ilvl w:val="0"/>
                <w:numId w:val="0"/>
              </w:numPr>
              <w:spacing w:after="200"/>
            </w:pPr>
            <w:r w:rsidRPr="008C1F68">
              <w:t>[•]</w:t>
            </w:r>
          </w:p>
        </w:tc>
      </w:tr>
      <w:tr w:rsidR="003A7D77" w14:paraId="0B71696D" w14:textId="77777777" w:rsidTr="00B640CB">
        <w:trPr>
          <w:trHeight w:val="237"/>
        </w:trPr>
        <w:tc>
          <w:tcPr>
            <w:tcW w:w="2808" w:type="dxa"/>
          </w:tcPr>
          <w:p w14:paraId="2C82B379" w14:textId="77777777" w:rsidR="003A7D77" w:rsidRPr="008C1F68" w:rsidRDefault="003A7D77" w:rsidP="00B640CB">
            <w:pPr>
              <w:pStyle w:val="LNMainL2"/>
              <w:numPr>
                <w:ilvl w:val="0"/>
                <w:numId w:val="0"/>
              </w:numPr>
              <w:spacing w:after="200"/>
            </w:pPr>
            <w:r w:rsidRPr="008C1F68">
              <w:t xml:space="preserve">IBAN Number: </w:t>
            </w:r>
          </w:p>
        </w:tc>
        <w:tc>
          <w:tcPr>
            <w:tcW w:w="5771" w:type="dxa"/>
          </w:tcPr>
          <w:p w14:paraId="2D2BFC0E" w14:textId="77777777" w:rsidR="003A7D77" w:rsidRPr="008C1F68" w:rsidRDefault="003A7D77" w:rsidP="00B640CB">
            <w:pPr>
              <w:pStyle w:val="LNMainL2"/>
              <w:numPr>
                <w:ilvl w:val="0"/>
                <w:numId w:val="0"/>
              </w:numPr>
              <w:spacing w:after="200"/>
            </w:pPr>
            <w:r w:rsidRPr="008C1F68">
              <w:t>[•]</w:t>
            </w:r>
          </w:p>
        </w:tc>
      </w:tr>
    </w:tbl>
    <w:p w14:paraId="656B0139" w14:textId="77777777" w:rsidR="000F27C1" w:rsidRDefault="000F27C1" w:rsidP="000F27C1">
      <w:pPr>
        <w:pStyle w:val="LNMainL2"/>
        <w:numPr>
          <w:ilvl w:val="0"/>
          <w:numId w:val="0"/>
        </w:numPr>
        <w:ind w:left="720"/>
        <w:rPr>
          <w:iCs/>
        </w:rPr>
      </w:pPr>
    </w:p>
    <w:p w14:paraId="18E620E4" w14:textId="20011AB9" w:rsidR="003A7D77" w:rsidRPr="001608F0" w:rsidRDefault="003A7D77" w:rsidP="003A7D77">
      <w:pPr>
        <w:pStyle w:val="LNMainL2"/>
        <w:rPr>
          <w:iCs/>
        </w:rPr>
      </w:pPr>
      <w:r w:rsidRPr="001608F0">
        <w:rPr>
          <w:iCs/>
        </w:rPr>
        <w:t>Waiver</w:t>
      </w:r>
    </w:p>
    <w:p w14:paraId="4F887756" w14:textId="77777777" w:rsidR="003A7D77" w:rsidRPr="008C1F68" w:rsidRDefault="003A7D77" w:rsidP="003A7D77">
      <w:pPr>
        <w:pStyle w:val="LNMainL2"/>
        <w:numPr>
          <w:ilvl w:val="0"/>
          <w:numId w:val="0"/>
        </w:numPr>
        <w:ind w:left="720"/>
      </w:pPr>
      <w:r w:rsidRPr="008C1F68">
        <w:t>The Company hereby undertakes to procure all consents, waivers and shareholder resolutions necessary (pursuant to the Articles or otherwise) so as to enable the issue of shares in the capital of the Company contemplated by this agreement to proceed free of pre-emption rights or other restriction.</w:t>
      </w:r>
    </w:p>
    <w:p w14:paraId="4156F409" w14:textId="77777777" w:rsidR="003A7D77" w:rsidRPr="008C1F68" w:rsidRDefault="003A7D77" w:rsidP="003A7D77">
      <w:pPr>
        <w:pStyle w:val="LNMainL1"/>
      </w:pPr>
      <w:bookmarkStart w:id="5" w:name="_Ref522868168"/>
      <w:r w:rsidRPr="008C1F68">
        <w:t>SUBSCRIPTION</w:t>
      </w:r>
      <w:bookmarkEnd w:id="5"/>
    </w:p>
    <w:p w14:paraId="3FDCD649" w14:textId="77777777" w:rsidR="003A7D77" w:rsidRPr="008C1F68" w:rsidRDefault="003A7D77" w:rsidP="003A7D77">
      <w:pPr>
        <w:pStyle w:val="LNMainL2"/>
      </w:pPr>
      <w:bookmarkStart w:id="6" w:name="_Ref522800447"/>
      <w:r w:rsidRPr="008C1F68">
        <w:t xml:space="preserve">The Advance Subscription Funds shall automatically </w:t>
      </w:r>
      <w:r>
        <w:t xml:space="preserve">be </w:t>
      </w:r>
      <w:r w:rsidRPr="008C1F68">
        <w:t>applied to the subscription of Subscription Shares at the Subscription Price, and the Company shall issue and allot to the Subscriber (or as the Subscriber shall direct) the number of fully paid Subscription Shares to which it is entitled:</w:t>
      </w:r>
      <w:bookmarkEnd w:id="6"/>
    </w:p>
    <w:p w14:paraId="16158045" w14:textId="77777777" w:rsidR="003A7D77" w:rsidRPr="008C1F68" w:rsidRDefault="003A7D77" w:rsidP="003A7D77">
      <w:pPr>
        <w:pStyle w:val="LNMainL3"/>
      </w:pPr>
      <w:bookmarkStart w:id="7" w:name="_Ref389219861"/>
      <w:bookmarkStart w:id="8" w:name="_Ref522799108"/>
      <w:r w:rsidRPr="008C1F68">
        <w:t>in the event of a Financing Round, immediately prior to the unconditional completion of such Financing Round;</w:t>
      </w:r>
      <w:bookmarkEnd w:id="7"/>
      <w:r w:rsidRPr="008C1F68">
        <w:t xml:space="preserve"> or</w:t>
      </w:r>
      <w:bookmarkStart w:id="9" w:name="_Ref389219878"/>
      <w:bookmarkStart w:id="10" w:name="_Ref389219888"/>
      <w:bookmarkEnd w:id="8"/>
    </w:p>
    <w:p w14:paraId="51E6910F" w14:textId="77777777" w:rsidR="003A7D77" w:rsidRPr="008C1F68" w:rsidRDefault="003A7D77" w:rsidP="003A7D77">
      <w:pPr>
        <w:pStyle w:val="LNMainL3"/>
      </w:pPr>
      <w:bookmarkStart w:id="11" w:name="_Ref522800085"/>
      <w:r w:rsidRPr="008C1F68">
        <w:t>in the event of an Exit, immediately prior to the unconditional completion of such Exit;</w:t>
      </w:r>
      <w:bookmarkEnd w:id="9"/>
      <w:r w:rsidRPr="008C1F68">
        <w:t xml:space="preserve"> or</w:t>
      </w:r>
      <w:bookmarkEnd w:id="11"/>
    </w:p>
    <w:p w14:paraId="1557DCEB" w14:textId="77777777" w:rsidR="003A7D77" w:rsidRPr="008C1F68" w:rsidRDefault="003A7D77" w:rsidP="003A7D77">
      <w:pPr>
        <w:pStyle w:val="LNMainL3"/>
      </w:pPr>
      <w:bookmarkStart w:id="12" w:name="_Ref522799110"/>
      <w:r w:rsidRPr="008C1F68">
        <w:t>on the Longstop Date (if no Financing Round or Exit has unconditionally completed on or prior to the Longstop Date</w:t>
      </w:r>
      <w:bookmarkEnd w:id="10"/>
      <w:r w:rsidRPr="008C1F68">
        <w:t>); or</w:t>
      </w:r>
      <w:bookmarkStart w:id="13" w:name="_Ref389836228"/>
      <w:bookmarkEnd w:id="12"/>
    </w:p>
    <w:p w14:paraId="66C2EF7F" w14:textId="1AC5D164" w:rsidR="003A7D77" w:rsidRPr="008C1F68" w:rsidRDefault="003A7D77" w:rsidP="003A7D77">
      <w:pPr>
        <w:pStyle w:val="LNMainL3"/>
      </w:pPr>
      <w:bookmarkStart w:id="14" w:name="_Ref522800091"/>
      <w:r w:rsidRPr="008C1F68">
        <w:t xml:space="preserve">in the event of an Insolvency occurring before any of the events set out in sub-clauses </w:t>
      </w:r>
      <w:r w:rsidRPr="008C1F68">
        <w:fldChar w:fldCharType="begin"/>
      </w:r>
      <w:r w:rsidRPr="008C1F68">
        <w:instrText xml:space="preserve"> REF _Ref522799108 \r \h  \* MERGEFORMAT </w:instrText>
      </w:r>
      <w:r w:rsidRPr="008C1F68">
        <w:fldChar w:fldCharType="separate"/>
      </w:r>
      <w:r w:rsidR="001A485E">
        <w:t>(a)</w:t>
      </w:r>
      <w:r w:rsidRPr="008C1F68">
        <w:fldChar w:fldCharType="end"/>
      </w:r>
      <w:r w:rsidRPr="008C1F68">
        <w:t xml:space="preserve"> to </w:t>
      </w:r>
      <w:r w:rsidRPr="008C1F68">
        <w:fldChar w:fldCharType="begin"/>
      </w:r>
      <w:r w:rsidRPr="008C1F68">
        <w:instrText xml:space="preserve"> REF _Ref522799110 \r \h  \* MERGEFORMAT </w:instrText>
      </w:r>
      <w:r w:rsidRPr="008C1F68">
        <w:fldChar w:fldCharType="separate"/>
      </w:r>
      <w:r w:rsidR="001A485E">
        <w:t>(c)</w:t>
      </w:r>
      <w:r w:rsidRPr="008C1F68">
        <w:fldChar w:fldCharType="end"/>
      </w:r>
      <w:r w:rsidRPr="008C1F68">
        <w:t xml:space="preserve"> above, immediately prior to the occurrence of such Insolvency event,</w:t>
      </w:r>
      <w:bookmarkEnd w:id="13"/>
      <w:bookmarkEnd w:id="14"/>
    </w:p>
    <w:p w14:paraId="5F6AC9F4" w14:textId="77777777" w:rsidR="003A7D77" w:rsidRPr="008C1F68" w:rsidRDefault="003A7D77" w:rsidP="003A7D77">
      <w:pPr>
        <w:pStyle w:val="LNMainL2"/>
        <w:numPr>
          <w:ilvl w:val="0"/>
          <w:numId w:val="0"/>
        </w:numPr>
        <w:ind w:left="720"/>
      </w:pPr>
      <w:r w:rsidRPr="008C1F68">
        <w:t>and (in each case) Subscription Shares so allotted and issued shall be in full satisfaction and discharge of all obligations of the Company under this agreement to the Subscriber and this agreement shall terminate automatically and immediately on completion of such subscription.</w:t>
      </w:r>
    </w:p>
    <w:p w14:paraId="1ED28849" w14:textId="77777777" w:rsidR="003A7D77" w:rsidRPr="008C1F68" w:rsidRDefault="003A7D77" w:rsidP="003A7D77">
      <w:pPr>
        <w:pStyle w:val="LNMainL1"/>
      </w:pPr>
      <w:r w:rsidRPr="008C1F68">
        <w:t>Warranties</w:t>
      </w:r>
    </w:p>
    <w:p w14:paraId="0DC3088D" w14:textId="77777777" w:rsidR="003A7D77" w:rsidRPr="008C1F68" w:rsidRDefault="003A7D77" w:rsidP="003A7D77">
      <w:pPr>
        <w:pStyle w:val="LNMainL2"/>
      </w:pPr>
      <w:r w:rsidRPr="008C1F68">
        <w:t xml:space="preserve">The Company hereby warrants to the Subscriber that: </w:t>
      </w:r>
    </w:p>
    <w:p w14:paraId="0E2BCD43" w14:textId="77777777" w:rsidR="003A7D77" w:rsidRPr="008C1F68" w:rsidRDefault="003A7D77" w:rsidP="003A7D77">
      <w:pPr>
        <w:pStyle w:val="LNMainL3"/>
      </w:pPr>
      <w:r w:rsidRPr="008C1F68">
        <w:lastRenderedPageBreak/>
        <w:t xml:space="preserve">the Company is a company duly formed, validly existing and in good standing under the laws of England and Wales, with full corporate power and authority to enter into and perform its obligations under this agreement; </w:t>
      </w:r>
    </w:p>
    <w:p w14:paraId="416E341E" w14:textId="77777777" w:rsidR="003A7D77" w:rsidRPr="008C1F68" w:rsidRDefault="003A7D77" w:rsidP="003A7D77">
      <w:pPr>
        <w:pStyle w:val="LNMainL3"/>
      </w:pPr>
      <w:r w:rsidRPr="008C1F68">
        <w:t>the consummation of the transactions contemplated hereunder and the performance of this agreement by the Company do not violate the provisions of the Articles, or any applicable law, and will not result in any breach of, or constitute a default under, any note or instrument to which the Company is a party or by which it is bound;  and</w:t>
      </w:r>
    </w:p>
    <w:p w14:paraId="3BD24641" w14:textId="77777777" w:rsidR="003A7D77" w:rsidRPr="008C1F68" w:rsidRDefault="003A7D77" w:rsidP="003A7D77">
      <w:pPr>
        <w:pStyle w:val="LNMainL3"/>
      </w:pPr>
      <w:r w:rsidRPr="008C1F68">
        <w:t>this agreement is valid and binding upon the Company and enforceable in accordance with its terms.</w:t>
      </w:r>
    </w:p>
    <w:p w14:paraId="0CDDFFE9" w14:textId="77777777" w:rsidR="003A7D77" w:rsidRPr="008C1F68" w:rsidRDefault="003A7D77" w:rsidP="003A7D77">
      <w:pPr>
        <w:pStyle w:val="LNMainL1"/>
      </w:pPr>
      <w:r w:rsidRPr="008C1F68">
        <w:t xml:space="preserve">Status of Subscriber </w:t>
      </w:r>
      <w:r>
        <w:rPr>
          <w:rStyle w:val="FootnoteReference"/>
        </w:rPr>
        <w:footnoteReference w:id="9"/>
      </w:r>
    </w:p>
    <w:p w14:paraId="3BAF4E62" w14:textId="77777777" w:rsidR="003A7D77" w:rsidRPr="008C1F68" w:rsidRDefault="003A7D77" w:rsidP="003A7D77">
      <w:pPr>
        <w:pStyle w:val="LNMainL1"/>
        <w:numPr>
          <w:ilvl w:val="0"/>
          <w:numId w:val="0"/>
        </w:numPr>
        <w:ind w:firstLine="709"/>
        <w:rPr>
          <w:b w:val="0"/>
        </w:rPr>
      </w:pPr>
      <w:r w:rsidRPr="008C1F68">
        <w:rPr>
          <w:b w:val="0"/>
        </w:rPr>
        <w:t>[</w:t>
      </w:r>
      <w:r w:rsidRPr="008C1F68">
        <w:rPr>
          <w:b w:val="0"/>
          <w:i/>
        </w:rPr>
        <w:t>FOR US RESIDENTS</w:t>
      </w:r>
      <w:r w:rsidRPr="008C1F68">
        <w:rPr>
          <w:b w:val="0"/>
        </w:rPr>
        <w:t>:</w:t>
      </w:r>
    </w:p>
    <w:p w14:paraId="4F5EDD0B" w14:textId="77777777" w:rsidR="003A7D77" w:rsidRPr="008C1F68" w:rsidRDefault="003A7D77" w:rsidP="003A7D77">
      <w:pPr>
        <w:pStyle w:val="LNMainL2"/>
      </w:pPr>
      <w:r w:rsidRPr="008C1F68">
        <w:t>The Subscriber represents, warrants and undertakes to the Company and each of its directors that:</w:t>
      </w:r>
    </w:p>
    <w:p w14:paraId="0552C7DD" w14:textId="315387D2" w:rsidR="003A7D77" w:rsidRPr="008C1F68" w:rsidRDefault="0043484E" w:rsidP="003A7D77">
      <w:pPr>
        <w:pStyle w:val="LNMainL3"/>
      </w:pPr>
      <w:r>
        <w:t>t</w:t>
      </w:r>
      <w:r w:rsidR="009F224E">
        <w:t>he</w:t>
      </w:r>
      <w:r>
        <w:t>y are</w:t>
      </w:r>
      <w:r w:rsidR="003A7D77" w:rsidRPr="008C1F68">
        <w:t xml:space="preserve"> entering into this agreement to acquire Subscription Shares for </w:t>
      </w:r>
      <w:r w:rsidR="009F224E">
        <w:t>their</w:t>
      </w:r>
      <w:r w:rsidR="003A7D77" w:rsidRPr="008C1F68">
        <w:t xml:space="preserve"> own account for investment and not for the account of another nor with a view to, or for resale in connection with, any distribution or public offering thereof within the meaning of the United States Securities Act of 1933, as amended (the "</w:t>
      </w:r>
      <w:r w:rsidR="003A7D77" w:rsidRPr="008C1F68">
        <w:rPr>
          <w:b/>
        </w:rPr>
        <w:t>Securities Act</w:t>
      </w:r>
      <w:r w:rsidR="003A7D77" w:rsidRPr="008C1F68">
        <w:t>") or the rules and regulations promulgated thereunder or the state securities laws of any applicable jurisdiction;</w:t>
      </w:r>
    </w:p>
    <w:p w14:paraId="53CA2D18" w14:textId="29777945" w:rsidR="003A7D77" w:rsidRPr="008C1F68" w:rsidRDefault="009F224E" w:rsidP="003A7D77">
      <w:pPr>
        <w:pStyle w:val="LNMainL3"/>
      </w:pPr>
      <w:r>
        <w:t>t</w:t>
      </w:r>
      <w:r w:rsidR="003A7D77" w:rsidRPr="008C1F68">
        <w:t>he</w:t>
      </w:r>
      <w:r w:rsidR="0043484E">
        <w:t>y are</w:t>
      </w:r>
      <w:r w:rsidR="003A7D77" w:rsidRPr="008C1F68">
        <w:t xml:space="preserve"> able financially to bear the risk of losing </w:t>
      </w:r>
      <w:r>
        <w:t>their</w:t>
      </w:r>
      <w:r w:rsidR="003A7D77" w:rsidRPr="008C1F68">
        <w:t xml:space="preserve"> entire investment, has adequate means of providing for </w:t>
      </w:r>
      <w:r>
        <w:t>their</w:t>
      </w:r>
      <w:r w:rsidR="003A7D77" w:rsidRPr="008C1F68">
        <w:t xml:space="preserve"> current needs and has no need for liquidity of this investment;</w:t>
      </w:r>
    </w:p>
    <w:p w14:paraId="0E30DA52" w14:textId="2FAEF083" w:rsidR="003A7D77" w:rsidRPr="008C1F68" w:rsidRDefault="009F224E" w:rsidP="003A7D77">
      <w:pPr>
        <w:pStyle w:val="LNMainL3"/>
      </w:pPr>
      <w:r>
        <w:t>t</w:t>
      </w:r>
      <w:r w:rsidR="003A7D77" w:rsidRPr="008C1F68">
        <w:t>he</w:t>
      </w:r>
      <w:r w:rsidR="0043484E">
        <w:t>y are</w:t>
      </w:r>
      <w:r w:rsidR="003A7D77" w:rsidRPr="008C1F68">
        <w:t xml:space="preserve"> an "accredited investor" within the definition set forth in Rule 501(a) of Regulation D promulgated under the Securities Act;</w:t>
      </w:r>
    </w:p>
    <w:p w14:paraId="03344526" w14:textId="5C720C7E" w:rsidR="003A7D77" w:rsidRPr="008C1F68" w:rsidRDefault="009F224E" w:rsidP="003A7D77">
      <w:pPr>
        <w:pStyle w:val="LNMainL3"/>
      </w:pPr>
      <w:r>
        <w:t>t</w:t>
      </w:r>
      <w:r w:rsidR="003A7D77" w:rsidRPr="008C1F68">
        <w:t>he</w:t>
      </w:r>
      <w:r w:rsidR="0043484E">
        <w:t>y</w:t>
      </w:r>
      <w:r w:rsidR="003A7D77" w:rsidRPr="008C1F68">
        <w:t xml:space="preserve"> ha</w:t>
      </w:r>
      <w:r w:rsidR="0043484E">
        <w:t>ve</w:t>
      </w:r>
      <w:r w:rsidR="003A7D77" w:rsidRPr="008C1F68">
        <w:t xml:space="preserve">, or </w:t>
      </w:r>
      <w:r w:rsidR="001A485E">
        <w:t>are</w:t>
      </w:r>
      <w:r w:rsidR="003A7D77" w:rsidRPr="008C1F68">
        <w:t xml:space="preserve"> relying on a professional representative who has, sufficient knowledge and expertise in business, tax and financial matters to be able to evaluate the risks and merits inherent in investments of this type;</w:t>
      </w:r>
    </w:p>
    <w:p w14:paraId="074D6F9E" w14:textId="0828C61F" w:rsidR="003A7D77" w:rsidRPr="008C1F68" w:rsidRDefault="009F224E" w:rsidP="003A7D77">
      <w:pPr>
        <w:pStyle w:val="LNMainL3"/>
      </w:pPr>
      <w:r>
        <w:t>t</w:t>
      </w:r>
      <w:r w:rsidR="003A7D77" w:rsidRPr="008C1F68">
        <w:t>he</w:t>
      </w:r>
      <w:r w:rsidR="0043484E">
        <w:t>y</w:t>
      </w:r>
      <w:r w:rsidR="003A7D77" w:rsidRPr="008C1F68">
        <w:t xml:space="preserve"> ha</w:t>
      </w:r>
      <w:r w:rsidR="0043484E">
        <w:t>ve</w:t>
      </w:r>
      <w:r w:rsidR="003A7D77" w:rsidRPr="008C1F68">
        <w:t xml:space="preserve"> received information from the Company with respect to all matters </w:t>
      </w:r>
      <w:r>
        <w:t>t</w:t>
      </w:r>
      <w:r w:rsidR="003A7D77" w:rsidRPr="008C1F68">
        <w:t>he</w:t>
      </w:r>
      <w:r>
        <w:t>y</w:t>
      </w:r>
      <w:r w:rsidR="003A7D77" w:rsidRPr="008C1F68">
        <w:t xml:space="preserve"> consider material to </w:t>
      </w:r>
      <w:r>
        <w:t>their</w:t>
      </w:r>
      <w:r w:rsidR="003A7D77" w:rsidRPr="008C1F68">
        <w:t xml:space="preserve"> investment decision, ha</w:t>
      </w:r>
      <w:r w:rsidR="0043484E">
        <w:t>ve</w:t>
      </w:r>
      <w:r w:rsidR="003A7D77" w:rsidRPr="008C1F68">
        <w:t xml:space="preserve"> had the opportunity to ask questions of the officers of the Company on any matter material to </w:t>
      </w:r>
      <w:r>
        <w:t>their</w:t>
      </w:r>
      <w:r w:rsidR="003A7D77" w:rsidRPr="008C1F68">
        <w:t xml:space="preserve"> investment decision, and all such questions have been answered to </w:t>
      </w:r>
      <w:r>
        <w:t>their</w:t>
      </w:r>
      <w:r w:rsidR="003A7D77" w:rsidRPr="008C1F68">
        <w:t xml:space="preserve"> satisfaction;</w:t>
      </w:r>
    </w:p>
    <w:p w14:paraId="40BFA557" w14:textId="0CE3ADDC" w:rsidR="003A7D77" w:rsidRPr="008C1F68" w:rsidRDefault="009F224E" w:rsidP="003A7D77">
      <w:pPr>
        <w:pStyle w:val="LNMainL3"/>
      </w:pPr>
      <w:r>
        <w:t>t</w:t>
      </w:r>
      <w:r w:rsidR="003A7D77" w:rsidRPr="008C1F68">
        <w:t>he</w:t>
      </w:r>
      <w:r w:rsidR="0043484E">
        <w:t>y</w:t>
      </w:r>
      <w:r w:rsidR="003A7D77" w:rsidRPr="008C1F68">
        <w:t xml:space="preserve"> understand that </w:t>
      </w:r>
      <w:r>
        <w:t>t</w:t>
      </w:r>
      <w:r w:rsidR="003A7D77" w:rsidRPr="008C1F68">
        <w:t>he</w:t>
      </w:r>
      <w:r>
        <w:t>y</w:t>
      </w:r>
      <w:r w:rsidR="003A7D77" w:rsidRPr="008C1F68">
        <w:t xml:space="preserve"> must bear the economic risk of the investment for an indefinite period of time because the Subscription Shares will not be registered under the Securities Act, and therefore, must be held unless they are subsequently registered under the Securities Act or an exemption from such registration is available; and</w:t>
      </w:r>
    </w:p>
    <w:p w14:paraId="1336DA22" w14:textId="0BE7AF52" w:rsidR="003A7D77" w:rsidRPr="008C1F68" w:rsidRDefault="009F224E" w:rsidP="003A7D77">
      <w:pPr>
        <w:pStyle w:val="LNMainL3"/>
      </w:pPr>
      <w:r>
        <w:t>the</w:t>
      </w:r>
      <w:r w:rsidR="0043484E">
        <w:t>ir</w:t>
      </w:r>
      <w:r w:rsidR="003A7D77" w:rsidRPr="008C1F68">
        <w:t xml:space="preserve"> residence is as set forth at the beginning of the agreement; all offers for the issuance of the Subscription Shares were made to </w:t>
      </w:r>
      <w:r>
        <w:t>them</w:t>
      </w:r>
      <w:r w:rsidR="003A7D77" w:rsidRPr="008C1F68">
        <w:t xml:space="preserve"> at that address or if not at that address, at an address outside of the United States; no offer or solicitation was made to </w:t>
      </w:r>
      <w:r>
        <w:t>them</w:t>
      </w:r>
      <w:r w:rsidR="003A7D77" w:rsidRPr="008C1F68">
        <w:t xml:space="preserve"> in any jurisdiction other than that jurisdiction or outside of the United States; and </w:t>
      </w:r>
      <w:r>
        <w:t>they</w:t>
      </w:r>
      <w:r w:rsidR="003A7D77" w:rsidRPr="008C1F68">
        <w:t xml:space="preserve"> accept the offer for the issuance of the Subscription Shares by </w:t>
      </w:r>
      <w:r w:rsidR="003A7D77" w:rsidRPr="008C1F68">
        <w:lastRenderedPageBreak/>
        <w:t xml:space="preserve">executing this agreement within that jurisdiction; and prior to such acceptance, </w:t>
      </w:r>
      <w:r>
        <w:t>t</w:t>
      </w:r>
      <w:r w:rsidR="003A7D77" w:rsidRPr="008C1F68">
        <w:t>he</w:t>
      </w:r>
      <w:r>
        <w:t>y</w:t>
      </w:r>
      <w:r w:rsidR="003A7D77" w:rsidRPr="008C1F68">
        <w:t xml:space="preserve"> did not accept the offer for the issuance of the Subscription Shares in any other jurisdiction, orally, in writing, or otherwise.]</w:t>
      </w:r>
    </w:p>
    <w:p w14:paraId="3A5B053F" w14:textId="77777777" w:rsidR="003A7D77" w:rsidRPr="008C1F68" w:rsidRDefault="003A7D77" w:rsidP="003A7D77">
      <w:pPr>
        <w:spacing w:after="200" w:line="300" w:lineRule="atLeast"/>
        <w:ind w:firstLine="720"/>
        <w:rPr>
          <w:rFonts w:cs="Arial"/>
          <w:b/>
          <w:szCs w:val="20"/>
        </w:rPr>
      </w:pPr>
      <w:r w:rsidRPr="008C1F68">
        <w:rPr>
          <w:rFonts w:cs="Arial"/>
          <w:b/>
          <w:szCs w:val="20"/>
        </w:rPr>
        <w:t>OR</w:t>
      </w:r>
    </w:p>
    <w:p w14:paraId="50E512E2" w14:textId="77777777" w:rsidR="003A7D77" w:rsidRPr="008C1F68" w:rsidRDefault="003A7D77" w:rsidP="003A7D77">
      <w:pPr>
        <w:spacing w:after="200" w:line="300" w:lineRule="atLeast"/>
        <w:ind w:left="720"/>
        <w:rPr>
          <w:rFonts w:cs="Arial"/>
          <w:szCs w:val="20"/>
        </w:rPr>
      </w:pPr>
      <w:r w:rsidRPr="008C1F68">
        <w:rPr>
          <w:rFonts w:cs="Arial"/>
          <w:szCs w:val="20"/>
        </w:rPr>
        <w:t>[</w:t>
      </w:r>
      <w:r w:rsidRPr="008C1F68">
        <w:rPr>
          <w:rFonts w:cs="Arial"/>
          <w:i/>
          <w:szCs w:val="20"/>
        </w:rPr>
        <w:t>FOR UK RESIDENTS</w:t>
      </w:r>
      <w:r w:rsidRPr="008C1F68">
        <w:rPr>
          <w:rFonts w:cs="Arial"/>
          <w:szCs w:val="20"/>
        </w:rPr>
        <w:t xml:space="preserve">: </w:t>
      </w:r>
    </w:p>
    <w:p w14:paraId="7F124F80" w14:textId="77777777" w:rsidR="003A7D77" w:rsidRPr="008C1F68" w:rsidRDefault="003A7D77" w:rsidP="003A7D77">
      <w:pPr>
        <w:pStyle w:val="LNMainL2"/>
      </w:pPr>
      <w:r w:rsidRPr="008C1F68">
        <w:t>[In entering into this agreement to acquire the Subscription Shares on the terms of this agreement, the Subscriber undertakes that:</w:t>
      </w:r>
    </w:p>
    <w:p w14:paraId="7C80D4D0" w14:textId="6D68BFD3" w:rsidR="003A7D77" w:rsidRPr="008C1F68" w:rsidRDefault="0043484E" w:rsidP="003A7D77">
      <w:pPr>
        <w:pStyle w:val="LNMainL3"/>
        <w:spacing w:line="300" w:lineRule="atLeast"/>
      </w:pPr>
      <w:r>
        <w:t>t</w:t>
      </w:r>
      <w:r w:rsidR="003A7D77" w:rsidRPr="008C1F68">
        <w:t>he</w:t>
      </w:r>
      <w:r>
        <w:t>y are</w:t>
      </w:r>
      <w:r w:rsidR="003A7D77" w:rsidRPr="008C1F68">
        <w:t xml:space="preserve"> resident in the United Kingdom;</w:t>
      </w:r>
    </w:p>
    <w:p w14:paraId="75711E61" w14:textId="3574A48D" w:rsidR="003A7D77" w:rsidRPr="008C1F68" w:rsidRDefault="009F224E" w:rsidP="003A7D77">
      <w:pPr>
        <w:pStyle w:val="LNMainL3"/>
        <w:spacing w:line="300" w:lineRule="atLeast"/>
      </w:pPr>
      <w:r>
        <w:t>t</w:t>
      </w:r>
      <w:r w:rsidR="003A7D77" w:rsidRPr="008C1F68">
        <w:t>he</w:t>
      </w:r>
      <w:r w:rsidR="0043484E">
        <w:t>y</w:t>
      </w:r>
      <w:r w:rsidR="003A7D77" w:rsidRPr="008C1F68">
        <w:t xml:space="preserve"> fall into one or more of the following categories of the Financial Services and Markets Act 2000 (Financial Promotion) Order 2005 as amended (the "</w:t>
      </w:r>
      <w:r w:rsidR="003A7D77" w:rsidRPr="008C1F68">
        <w:rPr>
          <w:b/>
        </w:rPr>
        <w:t>Order</w:t>
      </w:r>
      <w:r w:rsidR="003A7D77" w:rsidRPr="008C1F68">
        <w:t>"):</w:t>
      </w:r>
    </w:p>
    <w:p w14:paraId="0FA761F5" w14:textId="77777777" w:rsidR="003A7D77" w:rsidRPr="001608F0" w:rsidRDefault="003A7D77" w:rsidP="003A7D77">
      <w:pPr>
        <w:numPr>
          <w:ilvl w:val="0"/>
          <w:numId w:val="4"/>
        </w:numPr>
        <w:spacing w:after="200" w:line="300" w:lineRule="atLeast"/>
        <w:jc w:val="both"/>
        <w:rPr>
          <w:rFonts w:ascii="Arial" w:hAnsi="Arial" w:cs="Arial"/>
          <w:sz w:val="20"/>
          <w:szCs w:val="20"/>
        </w:rPr>
      </w:pPr>
      <w:r w:rsidRPr="001608F0">
        <w:rPr>
          <w:rFonts w:ascii="Arial" w:hAnsi="Arial" w:cs="Arial"/>
          <w:sz w:val="20"/>
          <w:szCs w:val="20"/>
        </w:rPr>
        <w:t xml:space="preserve">a "certified high net worth individual" within the meaning of </w:t>
      </w:r>
      <w:bookmarkStart w:id="15" w:name="_9kR3WTr2CC458JG6yimp9RQ"/>
      <w:r w:rsidRPr="001608F0">
        <w:rPr>
          <w:rFonts w:ascii="Arial" w:hAnsi="Arial" w:cs="Arial"/>
          <w:sz w:val="20"/>
          <w:szCs w:val="20"/>
        </w:rPr>
        <w:t>Article 48(2)</w:t>
      </w:r>
      <w:bookmarkEnd w:id="15"/>
      <w:r w:rsidRPr="001608F0">
        <w:rPr>
          <w:rFonts w:ascii="Arial" w:hAnsi="Arial" w:cs="Arial"/>
          <w:sz w:val="20"/>
          <w:szCs w:val="20"/>
        </w:rPr>
        <w:t xml:space="preserve"> of the Order, and accordingly he has signed a certificate in the form set out in Part I of Schedule 5 of the Order within a period of 12 months prior to the date of this agreement; or</w:t>
      </w:r>
    </w:p>
    <w:p w14:paraId="2365AB14" w14:textId="77777777" w:rsidR="003A7D77" w:rsidRPr="001608F0" w:rsidRDefault="003A7D77" w:rsidP="003A7D77">
      <w:pPr>
        <w:numPr>
          <w:ilvl w:val="0"/>
          <w:numId w:val="4"/>
        </w:numPr>
        <w:spacing w:after="200" w:line="300" w:lineRule="atLeast"/>
        <w:jc w:val="both"/>
        <w:rPr>
          <w:rFonts w:ascii="Arial" w:hAnsi="Arial" w:cs="Arial"/>
          <w:sz w:val="20"/>
          <w:szCs w:val="20"/>
        </w:rPr>
      </w:pPr>
      <w:r w:rsidRPr="001608F0">
        <w:rPr>
          <w:rFonts w:ascii="Arial" w:hAnsi="Arial" w:cs="Arial"/>
          <w:sz w:val="20"/>
          <w:szCs w:val="20"/>
        </w:rPr>
        <w:t xml:space="preserve">a "self-certified sophisticated investor" in </w:t>
      </w:r>
      <w:bookmarkStart w:id="16" w:name="_9kR3WTr2CC459KG6yimpAKQZ"/>
      <w:r w:rsidRPr="001608F0">
        <w:rPr>
          <w:rFonts w:ascii="Arial" w:hAnsi="Arial" w:cs="Arial"/>
          <w:sz w:val="20"/>
          <w:szCs w:val="20"/>
        </w:rPr>
        <w:t>Article 50(A)(1)</w:t>
      </w:r>
      <w:bookmarkEnd w:id="16"/>
      <w:r w:rsidRPr="001608F0">
        <w:rPr>
          <w:rFonts w:ascii="Arial" w:hAnsi="Arial" w:cs="Arial"/>
          <w:sz w:val="20"/>
          <w:szCs w:val="20"/>
        </w:rPr>
        <w:t xml:space="preserve"> of the Order, and accordingly he has signed a certificate in the form set out in Part II of Schedule 5 of the Order within a period of 12 months prior to the date of this agreement, or</w:t>
      </w:r>
    </w:p>
    <w:p w14:paraId="0E60E527" w14:textId="2F3D4D16" w:rsidR="003A7D77" w:rsidRPr="001608F0" w:rsidRDefault="009F224E" w:rsidP="003A7D77">
      <w:pPr>
        <w:numPr>
          <w:ilvl w:val="0"/>
          <w:numId w:val="4"/>
        </w:numPr>
        <w:spacing w:after="200" w:line="300" w:lineRule="atLeast"/>
        <w:jc w:val="both"/>
        <w:rPr>
          <w:rFonts w:ascii="Arial" w:hAnsi="Arial" w:cs="Arial"/>
          <w:sz w:val="20"/>
          <w:szCs w:val="20"/>
        </w:rPr>
      </w:pPr>
      <w:r>
        <w:rPr>
          <w:rFonts w:ascii="Arial" w:hAnsi="Arial" w:cs="Arial"/>
          <w:sz w:val="20"/>
          <w:szCs w:val="20"/>
        </w:rPr>
        <w:t>t</w:t>
      </w:r>
      <w:r w:rsidR="003A7D77" w:rsidRPr="001608F0">
        <w:rPr>
          <w:rFonts w:ascii="Arial" w:hAnsi="Arial" w:cs="Arial"/>
          <w:sz w:val="20"/>
          <w:szCs w:val="20"/>
        </w:rPr>
        <w:t>he</w:t>
      </w:r>
      <w:r w:rsidR="0043484E">
        <w:rPr>
          <w:rFonts w:ascii="Arial" w:hAnsi="Arial" w:cs="Arial"/>
          <w:sz w:val="20"/>
          <w:szCs w:val="20"/>
        </w:rPr>
        <w:t>y are</w:t>
      </w:r>
      <w:r w:rsidR="003A7D77" w:rsidRPr="001608F0">
        <w:rPr>
          <w:rFonts w:ascii="Arial" w:hAnsi="Arial" w:cs="Arial"/>
          <w:sz w:val="20"/>
          <w:szCs w:val="20"/>
        </w:rPr>
        <w:t xml:space="preserve"> a person to whom an invitation or inducement to engage in investment activity (within the meaning of section 21 of the Financial Services and Markets Act 2000) in connection with the issue or sale of any securities may otherwise lawfully be communicated or caused to be communicated;</w:t>
      </w:r>
    </w:p>
    <w:p w14:paraId="3643B633" w14:textId="50E364AB" w:rsidR="003A7D77" w:rsidRPr="008C1F68" w:rsidRDefault="009F224E" w:rsidP="003A7D77">
      <w:pPr>
        <w:pStyle w:val="LNMainL3"/>
        <w:spacing w:line="300" w:lineRule="atLeast"/>
      </w:pPr>
      <w:r>
        <w:t>t</w:t>
      </w:r>
      <w:r w:rsidR="003A7D77" w:rsidRPr="008C1F68">
        <w:t>he</w:t>
      </w:r>
      <w:r w:rsidR="0043484E">
        <w:t>y have</w:t>
      </w:r>
      <w:r w:rsidR="003A7D77" w:rsidRPr="008C1F68">
        <w:t xml:space="preserve"> received sufficient information from the Company with respect to all matters </w:t>
      </w:r>
      <w:r>
        <w:t>t</w:t>
      </w:r>
      <w:r w:rsidR="003A7D77" w:rsidRPr="008C1F68">
        <w:t>he</w:t>
      </w:r>
      <w:r>
        <w:t>y</w:t>
      </w:r>
      <w:r w:rsidR="003A7D77" w:rsidRPr="008C1F68">
        <w:t xml:space="preserve"> consider material to</w:t>
      </w:r>
      <w:r>
        <w:t xml:space="preserve"> their</w:t>
      </w:r>
      <w:r w:rsidR="003A7D77" w:rsidRPr="008C1F68">
        <w:t xml:space="preserve"> investment decision, </w:t>
      </w:r>
      <w:r>
        <w:t>the</w:t>
      </w:r>
      <w:r w:rsidR="0043484E">
        <w:t>y have</w:t>
      </w:r>
      <w:r w:rsidR="003A7D77" w:rsidRPr="008C1F68">
        <w:t xml:space="preserve"> had the opportunity to ask questions of the management of the Company in relation to </w:t>
      </w:r>
      <w:r>
        <w:t>their</w:t>
      </w:r>
      <w:r w:rsidR="003A7D77" w:rsidRPr="008C1F68">
        <w:t xml:space="preserve"> investment decision and all such questions have been answered to </w:t>
      </w:r>
      <w:r>
        <w:t>their</w:t>
      </w:r>
      <w:r w:rsidR="003A7D77" w:rsidRPr="008C1F68">
        <w:t xml:space="preserve"> satisfaction; and</w:t>
      </w:r>
    </w:p>
    <w:p w14:paraId="5EB1A2BC" w14:textId="730F0694" w:rsidR="003A7D77" w:rsidRPr="008C1F68" w:rsidRDefault="009F224E" w:rsidP="003A7D77">
      <w:pPr>
        <w:pStyle w:val="LNMainL3"/>
        <w:spacing w:line="300" w:lineRule="atLeast"/>
      </w:pPr>
      <w:r>
        <w:t>t</w:t>
      </w:r>
      <w:r w:rsidR="003A7D77" w:rsidRPr="008C1F68">
        <w:t>he</w:t>
      </w:r>
      <w:r w:rsidR="0043484E">
        <w:t>y</w:t>
      </w:r>
      <w:r>
        <w:t xml:space="preserve"> </w:t>
      </w:r>
      <w:r w:rsidR="003A7D77" w:rsidRPr="008C1F68">
        <w:t>ha</w:t>
      </w:r>
      <w:r w:rsidR="0043484E">
        <w:t>ve</w:t>
      </w:r>
      <w:r w:rsidR="003A7D77" w:rsidRPr="008C1F68">
        <w:t xml:space="preserve"> sufficient knowledge and expertise in business, tax and financial matters to be able to evaluate the risk and merits of an investment in the Company, or </w:t>
      </w:r>
      <w:r>
        <w:t>t</w:t>
      </w:r>
      <w:r w:rsidR="003A7D77" w:rsidRPr="008C1F68">
        <w:t>he</w:t>
      </w:r>
      <w:r w:rsidR="0043484E">
        <w:t>y have</w:t>
      </w:r>
      <w:r w:rsidR="003A7D77" w:rsidRPr="008C1F68">
        <w:t xml:space="preserve"> sought such advice as </w:t>
      </w:r>
      <w:r w:rsidR="0043484E">
        <w:t>t</w:t>
      </w:r>
      <w:r w:rsidR="003A7D77" w:rsidRPr="008C1F68">
        <w:t>he</w:t>
      </w:r>
      <w:r w:rsidR="0043484E">
        <w:t>y</w:t>
      </w:r>
      <w:r w:rsidR="003A7D77" w:rsidRPr="008C1F68">
        <w:t xml:space="preserve"> consider necessary from a professional adviser with such knowledge and expertise.</w:t>
      </w:r>
      <w:r w:rsidR="003A7D77">
        <w:t>]</w:t>
      </w:r>
    </w:p>
    <w:p w14:paraId="5FBCE8D3" w14:textId="77777777" w:rsidR="003A7D77" w:rsidRPr="008C1F68" w:rsidRDefault="003A7D77" w:rsidP="003A7D77">
      <w:pPr>
        <w:pStyle w:val="LNMainL1"/>
      </w:pPr>
      <w:r w:rsidRPr="008C1F68">
        <w:t>communications</w:t>
      </w:r>
    </w:p>
    <w:p w14:paraId="6D3CE162" w14:textId="77777777" w:rsidR="003A7D77" w:rsidRPr="001608F0" w:rsidRDefault="003A7D77" w:rsidP="003A7D77">
      <w:pPr>
        <w:pStyle w:val="LNMainL2"/>
        <w:rPr>
          <w:iCs/>
        </w:rPr>
      </w:pPr>
      <w:r w:rsidRPr="001608F0">
        <w:rPr>
          <w:iCs/>
        </w:rPr>
        <w:t>In writing</w:t>
      </w:r>
    </w:p>
    <w:p w14:paraId="539F5AAC" w14:textId="77777777" w:rsidR="003A7D77" w:rsidRPr="008C1F68" w:rsidRDefault="003A7D77" w:rsidP="003A7D77">
      <w:pPr>
        <w:pStyle w:val="LNMainL2"/>
        <w:numPr>
          <w:ilvl w:val="0"/>
          <w:numId w:val="0"/>
        </w:numPr>
        <w:ind w:left="720"/>
      </w:pPr>
      <w:r w:rsidRPr="008C1F68">
        <w:t>Unless otherwise expressly stated herein, all communications under this agreement will be in writing and may be made by letter or email.</w:t>
      </w:r>
    </w:p>
    <w:p w14:paraId="23664BE2" w14:textId="77777777" w:rsidR="003A7D77" w:rsidRPr="001608F0" w:rsidRDefault="003A7D77" w:rsidP="003A7D77">
      <w:pPr>
        <w:pStyle w:val="LNMainL2"/>
        <w:rPr>
          <w:iCs/>
        </w:rPr>
      </w:pPr>
      <w:r w:rsidRPr="001608F0">
        <w:rPr>
          <w:iCs/>
        </w:rPr>
        <w:t>Address</w:t>
      </w:r>
    </w:p>
    <w:p w14:paraId="2679D6F3" w14:textId="77777777" w:rsidR="003A7D77" w:rsidRPr="008C1F68" w:rsidRDefault="003A7D77" w:rsidP="003A7D77">
      <w:pPr>
        <w:pStyle w:val="LNMainL2"/>
        <w:numPr>
          <w:ilvl w:val="0"/>
          <w:numId w:val="0"/>
        </w:numPr>
        <w:ind w:left="720"/>
      </w:pPr>
      <w:r w:rsidRPr="008C1F68">
        <w:t xml:space="preserve">Any communication by letter to be made or delivered by one party to the other(s) will be made or delivered to that other party at the address shown next to its name on the first page of this agreement or to such other address as may from time to time be notified by one party to the other(s) in accordance with this clause and any communication by email to be made by one </w:t>
      </w:r>
      <w:r w:rsidRPr="008C1F68">
        <w:lastRenderedPageBreak/>
        <w:t>party to the other(s) will be made to that other party at the email address as may from time to time be notified by one party to the other(s) in accordance with this clause.</w:t>
      </w:r>
    </w:p>
    <w:p w14:paraId="2B37E472" w14:textId="77777777" w:rsidR="003A7D77" w:rsidRPr="001608F0" w:rsidRDefault="003A7D77" w:rsidP="003A7D77">
      <w:pPr>
        <w:pStyle w:val="LNMainL2"/>
        <w:rPr>
          <w:iCs/>
        </w:rPr>
      </w:pPr>
      <w:r w:rsidRPr="001608F0">
        <w:rPr>
          <w:iCs/>
        </w:rPr>
        <w:t>Delivery</w:t>
      </w:r>
    </w:p>
    <w:p w14:paraId="1A43BDC9" w14:textId="77777777" w:rsidR="003A7D77" w:rsidRPr="008C1F68" w:rsidRDefault="003A7D77" w:rsidP="003A7D77">
      <w:pPr>
        <w:pStyle w:val="LNMainL2"/>
        <w:numPr>
          <w:ilvl w:val="0"/>
          <w:numId w:val="0"/>
        </w:numPr>
        <w:ind w:left="720"/>
      </w:pPr>
      <w:r w:rsidRPr="008C1F68">
        <w:t>Any communication made or delivered under this agreement will be deemed made or delivered</w:t>
      </w:r>
    </w:p>
    <w:p w14:paraId="33D48FBA" w14:textId="77777777" w:rsidR="003A7D77" w:rsidRPr="008C1F68" w:rsidRDefault="003A7D77" w:rsidP="003A7D77">
      <w:pPr>
        <w:pStyle w:val="LNMainL3"/>
      </w:pPr>
      <w:r w:rsidRPr="008C1F68">
        <w:t>when received, in the case of an email;</w:t>
      </w:r>
    </w:p>
    <w:p w14:paraId="7C9AA5E3" w14:textId="77777777" w:rsidR="003A7D77" w:rsidRPr="008C1F68" w:rsidRDefault="003A7D77" w:rsidP="003A7D77">
      <w:pPr>
        <w:pStyle w:val="LNMainL3"/>
      </w:pPr>
      <w:r w:rsidRPr="008C1F68">
        <w:t>when left at the relevant address, in the case of a personally delivered letter; or</w:t>
      </w:r>
    </w:p>
    <w:p w14:paraId="53DAF511" w14:textId="77777777" w:rsidR="003A7D77" w:rsidRPr="008C1F68" w:rsidRDefault="003A7D77" w:rsidP="003A7D77">
      <w:pPr>
        <w:pStyle w:val="LNMainL3"/>
      </w:pPr>
      <w:r w:rsidRPr="008C1F68">
        <w:t>two Business Days after dispatch, in the case of a letter sent by prepaid first class post in an envelope addressed to the relevant address.</w:t>
      </w:r>
    </w:p>
    <w:p w14:paraId="11F873E8" w14:textId="77777777" w:rsidR="003A7D77" w:rsidRPr="008C1F68" w:rsidRDefault="003A7D77" w:rsidP="003A7D77">
      <w:pPr>
        <w:pStyle w:val="LNMainL1"/>
      </w:pPr>
      <w:r w:rsidRPr="008C1F68">
        <w:t>GENERAL</w:t>
      </w:r>
    </w:p>
    <w:p w14:paraId="03833FE3" w14:textId="77777777" w:rsidR="003A7D77" w:rsidRPr="001608F0" w:rsidRDefault="003A7D77" w:rsidP="003A7D77">
      <w:pPr>
        <w:pStyle w:val="LNMainL2"/>
        <w:rPr>
          <w:iCs/>
        </w:rPr>
      </w:pPr>
      <w:r w:rsidRPr="001608F0">
        <w:rPr>
          <w:iCs/>
        </w:rPr>
        <w:t xml:space="preserve">Status of funds </w:t>
      </w:r>
    </w:p>
    <w:p w14:paraId="5D368835" w14:textId="51B8B22B" w:rsidR="003A7D77" w:rsidRPr="008C1F68" w:rsidRDefault="003A7D77" w:rsidP="003A7D77">
      <w:pPr>
        <w:pStyle w:val="LNMainL1"/>
        <w:numPr>
          <w:ilvl w:val="0"/>
          <w:numId w:val="0"/>
        </w:numPr>
        <w:ind w:left="720"/>
        <w:rPr>
          <w:b w:val="0"/>
          <w:caps w:val="0"/>
        </w:rPr>
      </w:pPr>
      <w:r w:rsidRPr="008C1F68">
        <w:rPr>
          <w:b w:val="0"/>
          <w:caps w:val="0"/>
        </w:rPr>
        <w:t xml:space="preserve">The Advance Subscription Funds do not constitute a debt in any circumstances. No interest is payable on the Advance Subscription Funds. No amount of the Advance Subscription Funds is repayable by the Company in any circumstance. The Advance Subscription Funds shall be applied to the subscription of shares in the Company in accordance with clause </w:t>
      </w:r>
      <w:r w:rsidRPr="008C1F68">
        <w:rPr>
          <w:b w:val="0"/>
          <w:caps w:val="0"/>
        </w:rPr>
        <w:fldChar w:fldCharType="begin"/>
      </w:r>
      <w:r w:rsidRPr="008C1F68">
        <w:rPr>
          <w:b w:val="0"/>
          <w:caps w:val="0"/>
        </w:rPr>
        <w:instrText xml:space="preserve"> REF _Ref522868168 \r \h  \* MERGEFORMAT </w:instrText>
      </w:r>
      <w:r w:rsidRPr="008C1F68">
        <w:rPr>
          <w:b w:val="0"/>
          <w:caps w:val="0"/>
        </w:rPr>
      </w:r>
      <w:r w:rsidRPr="008C1F68">
        <w:rPr>
          <w:b w:val="0"/>
          <w:caps w:val="0"/>
        </w:rPr>
        <w:fldChar w:fldCharType="separate"/>
      </w:r>
      <w:r w:rsidR="001A485E">
        <w:rPr>
          <w:b w:val="0"/>
          <w:caps w:val="0"/>
        </w:rPr>
        <w:t>3</w:t>
      </w:r>
      <w:r w:rsidRPr="008C1F68">
        <w:rPr>
          <w:b w:val="0"/>
          <w:caps w:val="0"/>
        </w:rPr>
        <w:fldChar w:fldCharType="end"/>
      </w:r>
      <w:r w:rsidRPr="008C1F68">
        <w:rPr>
          <w:b w:val="0"/>
          <w:caps w:val="0"/>
        </w:rPr>
        <w:t>. The parties acknowledge that this agreement is irrevocable.</w:t>
      </w:r>
    </w:p>
    <w:p w14:paraId="1014418F" w14:textId="77777777" w:rsidR="003A7D77" w:rsidRPr="001608F0" w:rsidRDefault="003A7D77" w:rsidP="003A7D77">
      <w:pPr>
        <w:pStyle w:val="LNMainL2"/>
        <w:rPr>
          <w:iCs/>
        </w:rPr>
      </w:pPr>
      <w:r w:rsidRPr="001608F0">
        <w:rPr>
          <w:iCs/>
        </w:rPr>
        <w:t xml:space="preserve">Termination, variation and assignment  </w:t>
      </w:r>
    </w:p>
    <w:p w14:paraId="7423B86E" w14:textId="23D2A8F8" w:rsidR="003A7D77" w:rsidRPr="008C1F68" w:rsidRDefault="003A7D77" w:rsidP="003A7D77">
      <w:pPr>
        <w:pStyle w:val="LNMainL2"/>
        <w:numPr>
          <w:ilvl w:val="0"/>
          <w:numId w:val="0"/>
        </w:numPr>
        <w:ind w:left="720"/>
      </w:pPr>
      <w:r w:rsidRPr="008C1F68">
        <w:t xml:space="preserve">This agreement shall automatically terminate in accordance with clause </w:t>
      </w:r>
      <w:r w:rsidRPr="008C1F68">
        <w:fldChar w:fldCharType="begin"/>
      </w:r>
      <w:r w:rsidRPr="008C1F68">
        <w:instrText xml:space="preserve"> REF _Ref522868168 \r \h  \* MERGEFORMAT </w:instrText>
      </w:r>
      <w:r w:rsidRPr="008C1F68">
        <w:fldChar w:fldCharType="separate"/>
      </w:r>
      <w:r w:rsidR="001A485E">
        <w:t>3</w:t>
      </w:r>
      <w:r w:rsidRPr="008C1F68">
        <w:fldChar w:fldCharType="end"/>
      </w:r>
      <w:r>
        <w:t xml:space="preserve"> and may not otherwise be cancelled, varied or assigned</w:t>
      </w:r>
      <w:r>
        <w:rPr>
          <w:rStyle w:val="FootnoteReference"/>
        </w:rPr>
        <w:footnoteReference w:id="10"/>
      </w:r>
      <w:r>
        <w:t>.</w:t>
      </w:r>
    </w:p>
    <w:p w14:paraId="1967379E" w14:textId="77777777" w:rsidR="003A7D77" w:rsidRPr="001608F0" w:rsidRDefault="003A7D77" w:rsidP="003A7D77">
      <w:pPr>
        <w:pStyle w:val="LNMainL2"/>
        <w:rPr>
          <w:iCs/>
        </w:rPr>
      </w:pPr>
      <w:r w:rsidRPr="001608F0">
        <w:rPr>
          <w:iCs/>
        </w:rPr>
        <w:t>Counterparts</w:t>
      </w:r>
    </w:p>
    <w:p w14:paraId="27CD725B" w14:textId="77777777" w:rsidR="003A7D77" w:rsidRDefault="003A7D77" w:rsidP="003A7D77">
      <w:pPr>
        <w:pStyle w:val="LNMainL2"/>
        <w:numPr>
          <w:ilvl w:val="0"/>
          <w:numId w:val="0"/>
        </w:numPr>
        <w:ind w:left="720"/>
      </w:pPr>
      <w:r w:rsidRPr="008C1F68">
        <w:t>This agreement may be executed in counterpart, and this has the same effect as if the signatures on the counterparts were on a single copy of this agreement. The exchange of a fully executed version of this agreement (in counterparts or otherwise) by electronic transmission in PDF format shall be sufficient to bind the parties to the terms and conditions of this agreement and no exchange of originals is necessary.</w:t>
      </w:r>
    </w:p>
    <w:p w14:paraId="0FA8CB41" w14:textId="77777777" w:rsidR="003A7D77" w:rsidRPr="001608F0" w:rsidRDefault="003A7D77" w:rsidP="003A7D77">
      <w:pPr>
        <w:pStyle w:val="LNMainL2"/>
        <w:rPr>
          <w:iCs/>
        </w:rPr>
      </w:pPr>
      <w:r w:rsidRPr="001608F0">
        <w:rPr>
          <w:iCs/>
        </w:rPr>
        <w:t>Entire Agreement</w:t>
      </w:r>
    </w:p>
    <w:p w14:paraId="598A26F2" w14:textId="77777777" w:rsidR="003A7D77" w:rsidRDefault="003A7D77" w:rsidP="003A7D77">
      <w:pPr>
        <w:pStyle w:val="LNMainL2"/>
        <w:numPr>
          <w:ilvl w:val="0"/>
          <w:numId w:val="0"/>
        </w:numPr>
        <w:ind w:left="720"/>
      </w:pPr>
      <w:r w:rsidRPr="008C1F68">
        <w:t xml:space="preserve">This </w:t>
      </w:r>
      <w:r>
        <w:t>a</w:t>
      </w:r>
      <w:r w:rsidRPr="008C1F68">
        <w:t>greement sets forth the entire understanding among the parties with respect to the subject matter hereof.</w:t>
      </w:r>
    </w:p>
    <w:p w14:paraId="240503CF" w14:textId="77777777" w:rsidR="003A7D77" w:rsidRPr="001608F0" w:rsidRDefault="003A7D77" w:rsidP="003A7D77">
      <w:pPr>
        <w:pStyle w:val="LNMainL2"/>
        <w:rPr>
          <w:iCs/>
        </w:rPr>
      </w:pPr>
      <w:r w:rsidRPr="001608F0">
        <w:rPr>
          <w:iCs/>
        </w:rPr>
        <w:t>Severance</w:t>
      </w:r>
    </w:p>
    <w:p w14:paraId="6F6FD345" w14:textId="77777777" w:rsidR="003A7D77" w:rsidRPr="008C1F68" w:rsidRDefault="003A7D77" w:rsidP="003A7D77">
      <w:pPr>
        <w:pStyle w:val="LNMainL2"/>
        <w:numPr>
          <w:ilvl w:val="0"/>
          <w:numId w:val="0"/>
        </w:numPr>
        <w:ind w:left="720"/>
      </w:pPr>
      <w:r w:rsidRPr="008C1F68">
        <w:t>If one or more provisions of this Agreement is held to be unenforceable under applicable law, such provision shall be excluded from this Agreement and the balance of the Agreement shall be interpreted as if such provision were so excluded and shall be enforceable in accordance with its terms.</w:t>
      </w:r>
    </w:p>
    <w:p w14:paraId="3008EB50" w14:textId="77777777" w:rsidR="003A7D77" w:rsidRPr="008C1F68" w:rsidRDefault="003A7D77" w:rsidP="003A7D77">
      <w:pPr>
        <w:pStyle w:val="LNMainL1"/>
      </w:pPr>
      <w:r w:rsidRPr="008C1F68">
        <w:t>law</w:t>
      </w:r>
    </w:p>
    <w:p w14:paraId="61382F9B" w14:textId="77777777" w:rsidR="003A7D77" w:rsidRPr="008C1F68" w:rsidRDefault="003A7D77" w:rsidP="003A7D77">
      <w:pPr>
        <w:pStyle w:val="LNMainL2"/>
        <w:numPr>
          <w:ilvl w:val="0"/>
          <w:numId w:val="0"/>
        </w:numPr>
        <w:ind w:left="720"/>
      </w:pPr>
      <w:r w:rsidRPr="008C1F68">
        <w:t>This agreement will be governed by and construed in accordance with English law and the English courts shall have exclusive jurisdiction.</w:t>
      </w:r>
    </w:p>
    <w:p w14:paraId="43873B74" w14:textId="77777777" w:rsidR="003A7D77" w:rsidRPr="008C1F68" w:rsidRDefault="003A7D77" w:rsidP="003A7D77">
      <w:pPr>
        <w:pStyle w:val="LNMainL2"/>
        <w:numPr>
          <w:ilvl w:val="0"/>
          <w:numId w:val="0"/>
        </w:numPr>
        <w:ind w:left="720"/>
        <w:rPr>
          <w:color w:val="FF0000"/>
        </w:rPr>
        <w:sectPr w:rsidR="003A7D77" w:rsidRPr="008C1F68" w:rsidSect="001608F0">
          <w:headerReference w:type="even" r:id="rId10"/>
          <w:headerReference w:type="default" r:id="rId11"/>
          <w:footerReference w:type="even" r:id="rId12"/>
          <w:footerReference w:type="default" r:id="rId13"/>
          <w:headerReference w:type="first" r:id="rId14"/>
          <w:footerReference w:type="first" r:id="rId15"/>
          <w:pgSz w:w="11909" w:h="16834" w:code="9"/>
          <w:pgMar w:top="1417" w:right="1417" w:bottom="1417" w:left="1417" w:header="680" w:footer="680" w:gutter="0"/>
          <w:pgNumType w:start="1"/>
          <w:cols w:space="720"/>
          <w:docGrid w:linePitch="360"/>
        </w:sectPr>
      </w:pPr>
    </w:p>
    <w:p w14:paraId="3600AB6E" w14:textId="77777777" w:rsidR="003A7D77" w:rsidRPr="008C1F68" w:rsidRDefault="003A7D77" w:rsidP="003A7D77">
      <w:pPr>
        <w:pStyle w:val="LNMainL2"/>
        <w:numPr>
          <w:ilvl w:val="0"/>
          <w:numId w:val="0"/>
        </w:numPr>
        <w:jc w:val="left"/>
      </w:pPr>
      <w:r w:rsidRPr="008C1F68">
        <w:lastRenderedPageBreak/>
        <w:t>This agreement has been executed on the date stated at the beginning of this agreement.</w:t>
      </w:r>
    </w:p>
    <w:p w14:paraId="52BD7014" w14:textId="77777777" w:rsidR="003A7D77" w:rsidRDefault="003A7D77" w:rsidP="003A7D77">
      <w:pPr>
        <w:pStyle w:val="LNMainL2"/>
        <w:numPr>
          <w:ilvl w:val="0"/>
          <w:numId w:val="0"/>
        </w:numPr>
        <w:jc w:val="left"/>
      </w:pPr>
    </w:p>
    <w:p w14:paraId="4881964B" w14:textId="77777777" w:rsidR="003A7D77" w:rsidRPr="008C1F68" w:rsidRDefault="003A7D77" w:rsidP="003A7D77">
      <w:pPr>
        <w:pStyle w:val="LNMainL2"/>
        <w:numPr>
          <w:ilvl w:val="0"/>
          <w:numId w:val="0"/>
        </w:numPr>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7"/>
        <w:gridCol w:w="357"/>
        <w:gridCol w:w="4087"/>
      </w:tblGrid>
      <w:tr w:rsidR="003A7D77" w14:paraId="37B32BAF" w14:textId="77777777" w:rsidTr="00B640CB">
        <w:tc>
          <w:tcPr>
            <w:tcW w:w="3707" w:type="dxa"/>
            <w:shd w:val="clear" w:color="auto" w:fill="auto"/>
          </w:tcPr>
          <w:p w14:paraId="2E6F8BB8" w14:textId="77777777" w:rsidR="003A7D77" w:rsidRPr="008C1F68" w:rsidRDefault="003A7D77" w:rsidP="00B640CB">
            <w:pPr>
              <w:keepNext/>
              <w:keepLines/>
              <w:rPr>
                <w:rFonts w:cs="Arial"/>
                <w:szCs w:val="20"/>
              </w:rPr>
            </w:pPr>
            <w:r>
              <w:rPr>
                <w:rFonts w:cs="Arial"/>
                <w:szCs w:val="20"/>
              </w:rPr>
              <w:t>Signed by</w:t>
            </w:r>
          </w:p>
        </w:tc>
        <w:tc>
          <w:tcPr>
            <w:tcW w:w="357" w:type="dxa"/>
            <w:shd w:val="clear" w:color="auto" w:fill="auto"/>
          </w:tcPr>
          <w:p w14:paraId="084FEED5" w14:textId="77777777" w:rsidR="003A7D77" w:rsidRPr="008C1F68" w:rsidRDefault="003A7D77" w:rsidP="00B640CB">
            <w:pPr>
              <w:keepNext/>
              <w:keepLines/>
              <w:rPr>
                <w:rFonts w:cs="Arial"/>
                <w:szCs w:val="20"/>
              </w:rPr>
            </w:pPr>
            <w:r w:rsidRPr="008C1F68">
              <w:rPr>
                <w:rFonts w:cs="Arial"/>
                <w:szCs w:val="20"/>
              </w:rPr>
              <w:t>)</w:t>
            </w:r>
          </w:p>
        </w:tc>
        <w:tc>
          <w:tcPr>
            <w:tcW w:w="4087" w:type="dxa"/>
            <w:shd w:val="clear" w:color="auto" w:fill="auto"/>
          </w:tcPr>
          <w:p w14:paraId="7D8A24D0" w14:textId="77777777" w:rsidR="003A7D77" w:rsidRPr="008C1F68" w:rsidRDefault="003A7D77" w:rsidP="00B640CB">
            <w:pPr>
              <w:keepNext/>
              <w:keepLines/>
              <w:rPr>
                <w:rFonts w:cs="Arial"/>
                <w:szCs w:val="20"/>
              </w:rPr>
            </w:pPr>
          </w:p>
        </w:tc>
      </w:tr>
      <w:tr w:rsidR="003A7D77" w14:paraId="05C3D2C5" w14:textId="77777777" w:rsidTr="00B640CB">
        <w:tc>
          <w:tcPr>
            <w:tcW w:w="3707" w:type="dxa"/>
            <w:shd w:val="clear" w:color="auto" w:fill="auto"/>
          </w:tcPr>
          <w:p w14:paraId="6F9FB69B" w14:textId="77777777" w:rsidR="003A7D77" w:rsidRPr="008C1F68" w:rsidRDefault="003A7D77" w:rsidP="00B640CB">
            <w:pPr>
              <w:keepNext/>
              <w:keepLines/>
              <w:rPr>
                <w:rFonts w:cs="Arial"/>
                <w:szCs w:val="20"/>
              </w:rPr>
            </w:pPr>
            <w:r w:rsidRPr="008C1F68">
              <w:rPr>
                <w:rFonts w:cs="Arial"/>
                <w:szCs w:val="20"/>
              </w:rPr>
              <w:t>[</w:t>
            </w:r>
            <w:r w:rsidRPr="00E335F3">
              <w:rPr>
                <w:rFonts w:cs="Arial"/>
                <w:b/>
                <w:bCs/>
                <w:szCs w:val="20"/>
              </w:rPr>
              <w:t>NAME OF</w:t>
            </w:r>
            <w:r>
              <w:rPr>
                <w:rFonts w:cs="Arial"/>
                <w:szCs w:val="20"/>
              </w:rPr>
              <w:t xml:space="preserve"> </w:t>
            </w:r>
            <w:r w:rsidRPr="008C1F68">
              <w:rPr>
                <w:rFonts w:cs="Arial"/>
                <w:b/>
                <w:szCs w:val="20"/>
              </w:rPr>
              <w:t>SUBSCRIBER</w:t>
            </w:r>
            <w:r w:rsidRPr="008C1F68">
              <w:rPr>
                <w:rFonts w:cs="Arial"/>
                <w:szCs w:val="20"/>
              </w:rPr>
              <w:t>]</w:t>
            </w:r>
          </w:p>
        </w:tc>
        <w:tc>
          <w:tcPr>
            <w:tcW w:w="357" w:type="dxa"/>
            <w:shd w:val="clear" w:color="auto" w:fill="auto"/>
          </w:tcPr>
          <w:p w14:paraId="5D2D56F0" w14:textId="77777777" w:rsidR="003A7D77" w:rsidRPr="008C1F68" w:rsidRDefault="003A7D77" w:rsidP="00B640CB">
            <w:pPr>
              <w:keepNext/>
              <w:keepLines/>
              <w:rPr>
                <w:rFonts w:cs="Arial"/>
                <w:szCs w:val="20"/>
              </w:rPr>
            </w:pPr>
            <w:r w:rsidRPr="008C1F68">
              <w:rPr>
                <w:rFonts w:cs="Arial"/>
                <w:szCs w:val="20"/>
              </w:rPr>
              <w:t>)</w:t>
            </w:r>
          </w:p>
        </w:tc>
        <w:tc>
          <w:tcPr>
            <w:tcW w:w="4087" w:type="dxa"/>
            <w:tcBorders>
              <w:bottom w:val="dotted" w:sz="4" w:space="0" w:color="auto"/>
            </w:tcBorders>
            <w:shd w:val="clear" w:color="auto" w:fill="auto"/>
          </w:tcPr>
          <w:p w14:paraId="2F6D0E21" w14:textId="77777777" w:rsidR="003A7D77" w:rsidRPr="008C1F68" w:rsidRDefault="003A7D77" w:rsidP="00B640CB">
            <w:pPr>
              <w:keepNext/>
              <w:keepLines/>
              <w:rPr>
                <w:rFonts w:cs="Arial"/>
                <w:szCs w:val="20"/>
              </w:rPr>
            </w:pPr>
          </w:p>
        </w:tc>
      </w:tr>
      <w:tr w:rsidR="003A7D77" w14:paraId="7552DF9B" w14:textId="77777777" w:rsidTr="00B640CB">
        <w:tc>
          <w:tcPr>
            <w:tcW w:w="3707" w:type="dxa"/>
            <w:shd w:val="clear" w:color="auto" w:fill="auto"/>
          </w:tcPr>
          <w:p w14:paraId="44798DAF" w14:textId="77777777" w:rsidR="003A7D77" w:rsidRPr="008C1F68" w:rsidRDefault="003A7D77" w:rsidP="00B640CB">
            <w:pPr>
              <w:keepNext/>
              <w:keepLines/>
              <w:rPr>
                <w:rFonts w:cs="Arial"/>
                <w:szCs w:val="20"/>
              </w:rPr>
            </w:pPr>
          </w:p>
        </w:tc>
        <w:tc>
          <w:tcPr>
            <w:tcW w:w="357" w:type="dxa"/>
            <w:shd w:val="clear" w:color="auto" w:fill="auto"/>
          </w:tcPr>
          <w:p w14:paraId="063D3C4F" w14:textId="77777777" w:rsidR="003A7D77" w:rsidRPr="008C1F68" w:rsidRDefault="003A7D77" w:rsidP="00B640CB">
            <w:pPr>
              <w:keepNext/>
              <w:keepLines/>
              <w:rPr>
                <w:rFonts w:cs="Arial"/>
                <w:szCs w:val="20"/>
              </w:rPr>
            </w:pPr>
            <w:r w:rsidRPr="008C1F68">
              <w:rPr>
                <w:rFonts w:cs="Arial"/>
                <w:szCs w:val="20"/>
              </w:rPr>
              <w:t>)</w:t>
            </w:r>
          </w:p>
        </w:tc>
        <w:tc>
          <w:tcPr>
            <w:tcW w:w="4087" w:type="dxa"/>
            <w:tcBorders>
              <w:top w:val="dotted" w:sz="4" w:space="0" w:color="auto"/>
            </w:tcBorders>
            <w:shd w:val="clear" w:color="auto" w:fill="auto"/>
          </w:tcPr>
          <w:p w14:paraId="763F4BFB" w14:textId="77777777" w:rsidR="003A7D77" w:rsidRPr="008C1F68" w:rsidRDefault="003A7D77" w:rsidP="00B640CB">
            <w:pPr>
              <w:keepNext/>
              <w:keepLines/>
              <w:rPr>
                <w:rFonts w:cs="Arial"/>
                <w:szCs w:val="20"/>
              </w:rPr>
            </w:pPr>
          </w:p>
        </w:tc>
      </w:tr>
    </w:tbl>
    <w:p w14:paraId="07592E3B" w14:textId="77777777" w:rsidR="003A7D77" w:rsidRPr="008C1F68" w:rsidRDefault="003A7D77" w:rsidP="003A7D77">
      <w:pPr>
        <w:pStyle w:val="LNMainL2"/>
        <w:numPr>
          <w:ilvl w:val="0"/>
          <w:numId w:val="0"/>
        </w:numPr>
        <w:ind w:left="720" w:hanging="720"/>
      </w:pPr>
    </w:p>
    <w:p w14:paraId="034F36B9" w14:textId="77777777" w:rsidR="003A7D77" w:rsidRDefault="003A7D77" w:rsidP="003A7D77">
      <w:pPr>
        <w:pStyle w:val="LNMainL2"/>
        <w:numPr>
          <w:ilvl w:val="0"/>
          <w:numId w:val="0"/>
        </w:numPr>
        <w:ind w:left="720" w:hanging="720"/>
      </w:pPr>
    </w:p>
    <w:p w14:paraId="10F30DE8" w14:textId="77777777" w:rsidR="003A7D77" w:rsidRPr="008C1F68" w:rsidRDefault="003A7D77" w:rsidP="003A7D77">
      <w:pPr>
        <w:pStyle w:val="LNMainL2"/>
        <w:numPr>
          <w:ilvl w:val="0"/>
          <w:numId w:val="0"/>
        </w:numPr>
        <w:ind w:left="720" w:hanging="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7"/>
        <w:gridCol w:w="357"/>
        <w:gridCol w:w="4087"/>
      </w:tblGrid>
      <w:tr w:rsidR="003A7D77" w14:paraId="30E19A05" w14:textId="77777777" w:rsidTr="00B640CB">
        <w:tc>
          <w:tcPr>
            <w:tcW w:w="3707" w:type="dxa"/>
            <w:shd w:val="clear" w:color="auto" w:fill="auto"/>
          </w:tcPr>
          <w:p w14:paraId="576947B0" w14:textId="77777777" w:rsidR="003A7D77" w:rsidRPr="008C1F68" w:rsidRDefault="003A7D77" w:rsidP="00B640CB">
            <w:pPr>
              <w:keepNext/>
              <w:keepLines/>
              <w:rPr>
                <w:rFonts w:cs="Arial"/>
                <w:szCs w:val="20"/>
              </w:rPr>
            </w:pPr>
            <w:r>
              <w:rPr>
                <w:rFonts w:cs="Arial"/>
                <w:szCs w:val="20"/>
              </w:rPr>
              <w:t>Signed by</w:t>
            </w:r>
          </w:p>
        </w:tc>
        <w:tc>
          <w:tcPr>
            <w:tcW w:w="357" w:type="dxa"/>
            <w:shd w:val="clear" w:color="auto" w:fill="auto"/>
          </w:tcPr>
          <w:p w14:paraId="7CF00393" w14:textId="77777777" w:rsidR="003A7D77" w:rsidRPr="008C1F68" w:rsidRDefault="003A7D77" w:rsidP="00B640CB">
            <w:pPr>
              <w:keepNext/>
              <w:keepLines/>
              <w:rPr>
                <w:rFonts w:cs="Arial"/>
                <w:szCs w:val="20"/>
              </w:rPr>
            </w:pPr>
            <w:r w:rsidRPr="008C1F68">
              <w:rPr>
                <w:rFonts w:cs="Arial"/>
                <w:szCs w:val="20"/>
              </w:rPr>
              <w:t>)</w:t>
            </w:r>
          </w:p>
        </w:tc>
        <w:tc>
          <w:tcPr>
            <w:tcW w:w="4087" w:type="dxa"/>
            <w:shd w:val="clear" w:color="auto" w:fill="auto"/>
          </w:tcPr>
          <w:p w14:paraId="1EC61A09" w14:textId="77777777" w:rsidR="003A7D77" w:rsidRPr="008C1F68" w:rsidRDefault="003A7D77" w:rsidP="00B640CB">
            <w:pPr>
              <w:keepNext/>
              <w:keepLines/>
              <w:rPr>
                <w:rFonts w:cs="Arial"/>
                <w:szCs w:val="20"/>
              </w:rPr>
            </w:pPr>
          </w:p>
        </w:tc>
      </w:tr>
      <w:tr w:rsidR="003A7D77" w14:paraId="378FD11F" w14:textId="77777777" w:rsidTr="00B640CB">
        <w:tc>
          <w:tcPr>
            <w:tcW w:w="3707" w:type="dxa"/>
            <w:shd w:val="clear" w:color="auto" w:fill="auto"/>
          </w:tcPr>
          <w:p w14:paraId="59DE87FC" w14:textId="77777777" w:rsidR="003A7D77" w:rsidRPr="008C1F68" w:rsidRDefault="003A7D77" w:rsidP="00B640CB">
            <w:pPr>
              <w:keepNext/>
              <w:keepLines/>
              <w:rPr>
                <w:rFonts w:cs="Arial"/>
                <w:szCs w:val="20"/>
              </w:rPr>
            </w:pPr>
            <w:r>
              <w:rPr>
                <w:rFonts w:cs="Arial"/>
                <w:b/>
                <w:szCs w:val="20"/>
              </w:rPr>
              <w:t>[COMPANY NAME]</w:t>
            </w:r>
            <w:r w:rsidRPr="008C1F68">
              <w:rPr>
                <w:rFonts w:cs="Arial"/>
                <w:szCs w:val="20"/>
              </w:rPr>
              <w:t>, acting by</w:t>
            </w:r>
          </w:p>
          <w:p w14:paraId="4913A40A" w14:textId="77777777" w:rsidR="003A7D77" w:rsidRPr="008C1F68" w:rsidRDefault="003A7D77" w:rsidP="00B640CB">
            <w:pPr>
              <w:keepNext/>
              <w:keepLines/>
              <w:rPr>
                <w:rFonts w:cs="Arial"/>
                <w:szCs w:val="20"/>
              </w:rPr>
            </w:pPr>
            <w:r w:rsidRPr="008C1F68">
              <w:rPr>
                <w:rFonts w:cs="Arial"/>
                <w:szCs w:val="20"/>
              </w:rPr>
              <w:t>……………………………, a director</w:t>
            </w:r>
          </w:p>
        </w:tc>
        <w:tc>
          <w:tcPr>
            <w:tcW w:w="357" w:type="dxa"/>
            <w:shd w:val="clear" w:color="auto" w:fill="auto"/>
          </w:tcPr>
          <w:p w14:paraId="1188F724" w14:textId="77777777" w:rsidR="003A7D77" w:rsidRPr="008C1F68" w:rsidRDefault="003A7D77" w:rsidP="00B640CB">
            <w:pPr>
              <w:keepNext/>
              <w:keepLines/>
              <w:rPr>
                <w:rFonts w:cs="Arial"/>
                <w:szCs w:val="20"/>
              </w:rPr>
            </w:pPr>
            <w:r w:rsidRPr="008C1F68">
              <w:rPr>
                <w:rFonts w:cs="Arial"/>
                <w:szCs w:val="20"/>
              </w:rPr>
              <w:t>)</w:t>
            </w:r>
          </w:p>
          <w:p w14:paraId="4E7DDBF2" w14:textId="77777777" w:rsidR="003A7D77" w:rsidRPr="008C1F68" w:rsidRDefault="003A7D77" w:rsidP="00B640CB">
            <w:pPr>
              <w:keepNext/>
              <w:keepLines/>
              <w:rPr>
                <w:rFonts w:cs="Arial"/>
                <w:szCs w:val="20"/>
              </w:rPr>
            </w:pPr>
            <w:r w:rsidRPr="008C1F68">
              <w:rPr>
                <w:rFonts w:cs="Arial"/>
                <w:szCs w:val="20"/>
              </w:rPr>
              <w:t>)</w:t>
            </w:r>
          </w:p>
        </w:tc>
        <w:tc>
          <w:tcPr>
            <w:tcW w:w="4087" w:type="dxa"/>
            <w:tcBorders>
              <w:bottom w:val="dotted" w:sz="4" w:space="0" w:color="auto"/>
            </w:tcBorders>
            <w:shd w:val="clear" w:color="auto" w:fill="auto"/>
          </w:tcPr>
          <w:p w14:paraId="4D6BB1C6" w14:textId="77777777" w:rsidR="003A7D77" w:rsidRPr="008C1F68" w:rsidRDefault="003A7D77" w:rsidP="00B640CB">
            <w:pPr>
              <w:keepNext/>
              <w:keepLines/>
              <w:rPr>
                <w:rFonts w:cs="Arial"/>
                <w:szCs w:val="20"/>
              </w:rPr>
            </w:pPr>
          </w:p>
        </w:tc>
      </w:tr>
      <w:tr w:rsidR="003A7D77" w14:paraId="7BDA2269" w14:textId="77777777" w:rsidTr="00B640CB">
        <w:tc>
          <w:tcPr>
            <w:tcW w:w="3707" w:type="dxa"/>
            <w:shd w:val="clear" w:color="auto" w:fill="auto"/>
          </w:tcPr>
          <w:p w14:paraId="23566416" w14:textId="77777777" w:rsidR="003A7D77" w:rsidRPr="008C1F68" w:rsidRDefault="003A7D77" w:rsidP="00B640CB">
            <w:pPr>
              <w:keepNext/>
              <w:keepLines/>
              <w:rPr>
                <w:rFonts w:cs="Arial"/>
                <w:szCs w:val="20"/>
              </w:rPr>
            </w:pPr>
          </w:p>
        </w:tc>
        <w:tc>
          <w:tcPr>
            <w:tcW w:w="357" w:type="dxa"/>
            <w:shd w:val="clear" w:color="auto" w:fill="auto"/>
          </w:tcPr>
          <w:p w14:paraId="444A60F5" w14:textId="77777777" w:rsidR="003A7D77" w:rsidRPr="008C1F68" w:rsidRDefault="003A7D77" w:rsidP="00B640CB">
            <w:pPr>
              <w:keepNext/>
              <w:keepLines/>
              <w:rPr>
                <w:rFonts w:cs="Arial"/>
                <w:szCs w:val="20"/>
              </w:rPr>
            </w:pPr>
            <w:r w:rsidRPr="008C1F68">
              <w:rPr>
                <w:rFonts w:cs="Arial"/>
                <w:szCs w:val="20"/>
              </w:rPr>
              <w:t>)</w:t>
            </w:r>
          </w:p>
        </w:tc>
        <w:tc>
          <w:tcPr>
            <w:tcW w:w="4087" w:type="dxa"/>
            <w:tcBorders>
              <w:top w:val="dotted" w:sz="4" w:space="0" w:color="auto"/>
            </w:tcBorders>
            <w:shd w:val="clear" w:color="auto" w:fill="auto"/>
          </w:tcPr>
          <w:p w14:paraId="74765CFC" w14:textId="77777777" w:rsidR="003A7D77" w:rsidRPr="008C1F68" w:rsidRDefault="003A7D77" w:rsidP="00B640CB">
            <w:pPr>
              <w:keepNext/>
              <w:keepLines/>
              <w:rPr>
                <w:rFonts w:cs="Arial"/>
                <w:szCs w:val="20"/>
              </w:rPr>
            </w:pPr>
          </w:p>
        </w:tc>
      </w:tr>
    </w:tbl>
    <w:p w14:paraId="7A670183" w14:textId="77777777" w:rsidR="003A7D77" w:rsidRPr="008C1F68" w:rsidRDefault="003A7D77" w:rsidP="003A7D77">
      <w:pPr>
        <w:pStyle w:val="LNMainL2"/>
        <w:numPr>
          <w:ilvl w:val="0"/>
          <w:numId w:val="0"/>
        </w:numPr>
        <w:rPr>
          <w:b/>
        </w:rPr>
      </w:pPr>
    </w:p>
    <w:p w14:paraId="68484820" w14:textId="77777777" w:rsidR="006B3464" w:rsidRDefault="006B3464"/>
    <w:sectPr w:rsidR="006B3464" w:rsidSect="003A7D77">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1868" w14:textId="77777777" w:rsidR="00D53751" w:rsidRDefault="00D53751" w:rsidP="001E6B9B">
      <w:pPr>
        <w:spacing w:after="0" w:line="240" w:lineRule="auto"/>
      </w:pPr>
      <w:r>
        <w:separator/>
      </w:r>
    </w:p>
  </w:endnote>
  <w:endnote w:type="continuationSeparator" w:id="0">
    <w:p w14:paraId="0468B26F" w14:textId="77777777" w:rsidR="00D53751" w:rsidRDefault="00D53751" w:rsidP="001E6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155F0" w14:textId="77777777" w:rsidR="003A7D77" w:rsidRDefault="003A7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1AA1D8" w14:textId="77777777" w:rsidR="003A7D77" w:rsidRDefault="003A7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F997" w14:textId="77777777" w:rsidR="003A7D77" w:rsidRDefault="003A7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8B63" w14:textId="6C312CF4" w:rsidR="003A7D77" w:rsidRPr="001608F0" w:rsidRDefault="003A7D77" w:rsidP="00B640CB">
    <w:pPr>
      <w:pStyle w:val="Footer"/>
      <w:jc w:val="center"/>
      <w:rPr>
        <w:rFonts w:ascii="Arial" w:hAnsi="Arial" w:cs="Arial"/>
        <w:sz w:val="20"/>
        <w:szCs w:val="20"/>
      </w:rPr>
    </w:pPr>
    <w:r w:rsidRPr="001608F0">
      <w:rPr>
        <w:rFonts w:ascii="Arial" w:hAnsi="Arial" w:cs="Arial"/>
        <w:sz w:val="20"/>
        <w:szCs w:val="20"/>
      </w:rPr>
      <w:fldChar w:fldCharType="begin"/>
    </w:r>
    <w:r w:rsidRPr="001608F0">
      <w:rPr>
        <w:rFonts w:ascii="Arial" w:hAnsi="Arial" w:cs="Arial"/>
        <w:sz w:val="20"/>
        <w:szCs w:val="20"/>
      </w:rPr>
      <w:instrText xml:space="preserve"> PAGE   \* MERGEFORMAT </w:instrText>
    </w:r>
    <w:r w:rsidRPr="001608F0">
      <w:rPr>
        <w:rFonts w:ascii="Arial" w:hAnsi="Arial" w:cs="Arial"/>
        <w:sz w:val="20"/>
        <w:szCs w:val="20"/>
      </w:rPr>
      <w:fldChar w:fldCharType="separate"/>
    </w:r>
    <w:r w:rsidRPr="001608F0">
      <w:rPr>
        <w:rFonts w:ascii="Arial" w:hAnsi="Arial" w:cs="Arial"/>
        <w:noProof/>
        <w:sz w:val="20"/>
        <w:szCs w:val="20"/>
      </w:rPr>
      <w:t>7</w:t>
    </w:r>
    <w:r w:rsidRPr="001608F0">
      <w:rPr>
        <w:rFonts w:ascii="Arial" w:hAnsi="Arial" w:cs="Arial"/>
        <w:noProof/>
        <w:sz w:val="20"/>
        <w:szCs w:val="20"/>
      </w:rPr>
      <w:fldChar w:fldCharType="end"/>
    </w:r>
  </w:p>
  <w:p w14:paraId="1212309B" w14:textId="77777777" w:rsidR="003A7D77" w:rsidRPr="00450C8B" w:rsidRDefault="003A7D77" w:rsidP="00B640CB">
    <w:pPr>
      <w:overflowPunct w:val="0"/>
      <w:autoSpaceDE w:val="0"/>
      <w:autoSpaceDN w:val="0"/>
      <w:adjustRightInd w:val="0"/>
      <w:spacing w:before="360" w:line="240" w:lineRule="auto"/>
      <w:textAlignment w:val="baseline"/>
      <w:rPr>
        <w:rFonts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18"/>
      </w:rPr>
      <w:id w:val="-1206947007"/>
      <w:docPartObj>
        <w:docPartGallery w:val="Page Numbers (Bottom of Page)"/>
        <w:docPartUnique/>
      </w:docPartObj>
    </w:sdtPr>
    <w:sdtEndPr>
      <w:rPr>
        <w:rFonts w:ascii="Arial" w:hAnsi="Arial" w:cs="Arial"/>
        <w:noProof/>
        <w:sz w:val="20"/>
        <w:szCs w:val="20"/>
      </w:rPr>
    </w:sdtEndPr>
    <w:sdtContent>
      <w:p w14:paraId="61D597BB" w14:textId="77777777" w:rsidR="003A7D77" w:rsidRPr="001608F0" w:rsidRDefault="003A7D77" w:rsidP="00B640CB">
        <w:pPr>
          <w:pStyle w:val="Footer"/>
          <w:jc w:val="center"/>
          <w:rPr>
            <w:rFonts w:ascii="Arial" w:hAnsi="Arial" w:cs="Arial"/>
            <w:sz w:val="20"/>
            <w:szCs w:val="20"/>
          </w:rPr>
        </w:pPr>
        <w:r w:rsidRPr="001608F0">
          <w:rPr>
            <w:rFonts w:ascii="Arial" w:hAnsi="Arial" w:cs="Arial"/>
            <w:sz w:val="20"/>
            <w:szCs w:val="20"/>
          </w:rPr>
          <w:fldChar w:fldCharType="begin"/>
        </w:r>
        <w:r w:rsidRPr="001608F0">
          <w:rPr>
            <w:rFonts w:ascii="Arial" w:hAnsi="Arial" w:cs="Arial"/>
            <w:sz w:val="20"/>
            <w:szCs w:val="20"/>
          </w:rPr>
          <w:instrText xml:space="preserve"> PAGE   \* MERGEFORMAT </w:instrText>
        </w:r>
        <w:r w:rsidRPr="001608F0">
          <w:rPr>
            <w:rFonts w:ascii="Arial" w:hAnsi="Arial" w:cs="Arial"/>
            <w:sz w:val="20"/>
            <w:szCs w:val="20"/>
          </w:rPr>
          <w:fldChar w:fldCharType="separate"/>
        </w:r>
        <w:r w:rsidRPr="001608F0">
          <w:rPr>
            <w:rFonts w:ascii="Arial" w:hAnsi="Arial" w:cs="Arial"/>
            <w:noProof/>
            <w:sz w:val="20"/>
            <w:szCs w:val="20"/>
          </w:rPr>
          <w:t>6</w:t>
        </w:r>
        <w:r w:rsidRPr="001608F0">
          <w:rPr>
            <w:rFonts w:ascii="Arial" w:hAnsi="Arial" w:cs="Arial"/>
            <w:noProof/>
            <w:sz w:val="20"/>
            <w:szCs w:val="20"/>
          </w:rPr>
          <w:fldChar w:fldCharType="end"/>
        </w:r>
      </w:p>
    </w:sdtContent>
  </w:sdt>
  <w:p w14:paraId="5A2AD78B" w14:textId="77777777" w:rsidR="003A7D77" w:rsidRPr="001E6D09" w:rsidRDefault="003A7D77" w:rsidP="00B640CB">
    <w:pPr>
      <w:overflowPunct w:val="0"/>
      <w:autoSpaceDE w:val="0"/>
      <w:autoSpaceDN w:val="0"/>
      <w:adjustRightInd w:val="0"/>
      <w:spacing w:before="120" w:line="240" w:lineRule="auto"/>
      <w:textAlignment w:val="baseline"/>
      <w:rPr>
        <w:rFonts w:cs="Arial"/>
        <w:sz w:val="16"/>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1445" w14:textId="77777777" w:rsidR="00D53751" w:rsidRDefault="00D53751" w:rsidP="001E6B9B">
      <w:pPr>
        <w:spacing w:after="0" w:line="240" w:lineRule="auto"/>
      </w:pPr>
      <w:r>
        <w:separator/>
      </w:r>
    </w:p>
  </w:footnote>
  <w:footnote w:type="continuationSeparator" w:id="0">
    <w:p w14:paraId="53952D05" w14:textId="77777777" w:rsidR="00D53751" w:rsidRDefault="00D53751" w:rsidP="001E6B9B">
      <w:pPr>
        <w:spacing w:after="0" w:line="240" w:lineRule="auto"/>
      </w:pPr>
      <w:r>
        <w:continuationSeparator/>
      </w:r>
    </w:p>
  </w:footnote>
  <w:footnote w:id="1">
    <w:p w14:paraId="346B64BB" w14:textId="77777777" w:rsidR="003A7D77" w:rsidRDefault="003A7D77" w:rsidP="003A7D77">
      <w:pPr>
        <w:pStyle w:val="FootnoteText"/>
      </w:pPr>
      <w:r w:rsidRPr="00EA738E">
        <w:rPr>
          <w:rStyle w:val="FootnoteReference"/>
          <w:sz w:val="18"/>
          <w:szCs w:val="18"/>
        </w:rPr>
        <w:footnoteRef/>
      </w:r>
      <w:r w:rsidRPr="00EA738E">
        <w:rPr>
          <w:sz w:val="18"/>
          <w:szCs w:val="18"/>
        </w:rPr>
        <w:t xml:space="preserve"> </w:t>
      </w:r>
      <w:r>
        <w:rPr>
          <w:sz w:val="18"/>
          <w:szCs w:val="18"/>
        </w:rPr>
        <w:t>N</w:t>
      </w:r>
      <w:r w:rsidRPr="00EA738E">
        <w:rPr>
          <w:sz w:val="18"/>
          <w:szCs w:val="18"/>
        </w:rPr>
        <w:t xml:space="preserve">ote: </w:t>
      </w:r>
      <w:r>
        <w:rPr>
          <w:sz w:val="18"/>
          <w:szCs w:val="18"/>
        </w:rPr>
        <w:t>t</w:t>
      </w:r>
      <w:r w:rsidRPr="00EA738E">
        <w:rPr>
          <w:sz w:val="18"/>
          <w:szCs w:val="18"/>
        </w:rPr>
        <w:t>his is the amount of investment which, if raised by the Company, will trigger a</w:t>
      </w:r>
      <w:r>
        <w:rPr>
          <w:sz w:val="18"/>
          <w:szCs w:val="18"/>
        </w:rPr>
        <w:t>n automatic</w:t>
      </w:r>
      <w:r w:rsidRPr="00EA738E">
        <w:rPr>
          <w:sz w:val="18"/>
          <w:szCs w:val="18"/>
        </w:rPr>
        <w:t xml:space="preserve"> conversion of the advance subscription(s).</w:t>
      </w:r>
    </w:p>
  </w:footnote>
  <w:footnote w:id="2">
    <w:p w14:paraId="170435E0" w14:textId="77777777" w:rsidR="003A7D77" w:rsidRPr="00A834B4" w:rsidRDefault="003A7D77" w:rsidP="003A7D77">
      <w:pPr>
        <w:pStyle w:val="FootnoteText"/>
        <w:rPr>
          <w:sz w:val="18"/>
          <w:szCs w:val="18"/>
        </w:rPr>
      </w:pPr>
      <w:r w:rsidRPr="00EA738E">
        <w:rPr>
          <w:rStyle w:val="FootnoteReference"/>
          <w:sz w:val="18"/>
          <w:szCs w:val="18"/>
        </w:rPr>
        <w:footnoteRef/>
      </w:r>
      <w:r w:rsidRPr="00EA738E">
        <w:rPr>
          <w:sz w:val="18"/>
          <w:szCs w:val="18"/>
        </w:rPr>
        <w:t xml:space="preserve"> </w:t>
      </w:r>
      <w:r>
        <w:rPr>
          <w:sz w:val="18"/>
          <w:szCs w:val="18"/>
        </w:rPr>
        <w:t>N</w:t>
      </w:r>
      <w:r w:rsidRPr="00EA738E">
        <w:rPr>
          <w:sz w:val="18"/>
          <w:szCs w:val="18"/>
        </w:rPr>
        <w:t xml:space="preserve">ote: Longstop Date for the conversion of the advance subscription to be confirmed. </w:t>
      </w:r>
      <w:r>
        <w:rPr>
          <w:sz w:val="18"/>
          <w:szCs w:val="18"/>
        </w:rPr>
        <w:t xml:space="preserve">If the Company intends for the ASA funds to benefit from SEIS / EIS relief </w:t>
      </w:r>
      <w:r w:rsidRPr="00A834B4">
        <w:rPr>
          <w:sz w:val="18"/>
          <w:szCs w:val="18"/>
        </w:rPr>
        <w:t>following conversion, then HMRC guidelines state that this Longstop Date should generally not be more than 6 months from the date of the agreement.</w:t>
      </w:r>
    </w:p>
  </w:footnote>
  <w:footnote w:id="3">
    <w:p w14:paraId="179380FC" w14:textId="77777777" w:rsidR="003A7D77" w:rsidRDefault="003A7D77" w:rsidP="003A7D77">
      <w:pPr>
        <w:pStyle w:val="FootnoteText"/>
      </w:pPr>
      <w:r w:rsidRPr="00A834B4">
        <w:rPr>
          <w:rStyle w:val="FootnoteReference"/>
          <w:sz w:val="18"/>
          <w:szCs w:val="18"/>
        </w:rPr>
        <w:footnoteRef/>
      </w:r>
      <w:r w:rsidRPr="00A834B4">
        <w:rPr>
          <w:sz w:val="18"/>
          <w:szCs w:val="18"/>
        </w:rPr>
        <w:t xml:space="preserve"> Note: include the appropriate nominal value for the Company’s ordinary shares.</w:t>
      </w:r>
    </w:p>
  </w:footnote>
  <w:footnote w:id="4">
    <w:p w14:paraId="10C7F647" w14:textId="77777777" w:rsidR="003A7D77" w:rsidRPr="009332CD" w:rsidRDefault="003A7D77" w:rsidP="003A7D77">
      <w:pPr>
        <w:pStyle w:val="FootnoteText"/>
        <w:rPr>
          <w:sz w:val="18"/>
          <w:szCs w:val="18"/>
        </w:rPr>
      </w:pPr>
      <w:r w:rsidRPr="009332CD">
        <w:rPr>
          <w:rStyle w:val="FootnoteReference"/>
          <w:sz w:val="18"/>
          <w:szCs w:val="18"/>
        </w:rPr>
        <w:footnoteRef/>
      </w:r>
      <w:r w:rsidRPr="009332CD">
        <w:rPr>
          <w:sz w:val="18"/>
          <w:szCs w:val="18"/>
        </w:rPr>
        <w:t xml:space="preserve"> </w:t>
      </w:r>
      <w:r>
        <w:rPr>
          <w:sz w:val="18"/>
          <w:szCs w:val="18"/>
        </w:rPr>
        <w:t>N</w:t>
      </w:r>
      <w:r w:rsidRPr="009332CD">
        <w:rPr>
          <w:sz w:val="18"/>
          <w:szCs w:val="18"/>
        </w:rPr>
        <w:t>ote: this essentially provides that</w:t>
      </w:r>
      <w:r>
        <w:rPr>
          <w:sz w:val="18"/>
          <w:szCs w:val="18"/>
        </w:rPr>
        <w:t xml:space="preserve"> a share sale will trigger conversion of the ASAs if the sale results in a change of control of the Company. </w:t>
      </w:r>
    </w:p>
  </w:footnote>
  <w:footnote w:id="5">
    <w:p w14:paraId="623FB425" w14:textId="77777777" w:rsidR="003A7D77" w:rsidRDefault="003A7D77" w:rsidP="003A7D77">
      <w:pPr>
        <w:pStyle w:val="FootnoteText"/>
      </w:pPr>
      <w:r w:rsidRPr="00772CCD">
        <w:rPr>
          <w:rStyle w:val="FootnoteReference"/>
          <w:sz w:val="18"/>
          <w:szCs w:val="18"/>
        </w:rPr>
        <w:footnoteRef/>
      </w:r>
      <w:r w:rsidRPr="00772CCD">
        <w:rPr>
          <w:sz w:val="18"/>
          <w:szCs w:val="18"/>
        </w:rPr>
        <w:t xml:space="preserve"> </w:t>
      </w:r>
      <w:r>
        <w:rPr>
          <w:sz w:val="18"/>
          <w:szCs w:val="18"/>
        </w:rPr>
        <w:t>N</w:t>
      </w:r>
      <w:r w:rsidRPr="00772CCD">
        <w:rPr>
          <w:sz w:val="18"/>
          <w:szCs w:val="18"/>
        </w:rPr>
        <w:t xml:space="preserve">ote: </w:t>
      </w:r>
      <w:r>
        <w:rPr>
          <w:sz w:val="18"/>
          <w:szCs w:val="18"/>
        </w:rPr>
        <w:t>a</w:t>
      </w:r>
      <w:r w:rsidRPr="00772CCD">
        <w:rPr>
          <w:sz w:val="18"/>
          <w:szCs w:val="18"/>
        </w:rPr>
        <w:t>ny</w:t>
      </w:r>
      <w:r>
        <w:rPr>
          <w:sz w:val="18"/>
          <w:szCs w:val="18"/>
        </w:rPr>
        <w:t xml:space="preserve"> agreed</w:t>
      </w:r>
      <w:r w:rsidRPr="00772CCD">
        <w:rPr>
          <w:sz w:val="18"/>
          <w:szCs w:val="18"/>
        </w:rPr>
        <w:t xml:space="preserve"> discount on the price paid per Next Round Share </w:t>
      </w:r>
      <w:r>
        <w:rPr>
          <w:sz w:val="18"/>
          <w:szCs w:val="18"/>
        </w:rPr>
        <w:t>should be</w:t>
      </w:r>
      <w:r w:rsidRPr="00772CCD">
        <w:rPr>
          <w:sz w:val="18"/>
          <w:szCs w:val="18"/>
        </w:rPr>
        <w:t xml:space="preserve"> confirmed</w:t>
      </w:r>
      <w:r>
        <w:rPr>
          <w:sz w:val="18"/>
          <w:szCs w:val="18"/>
        </w:rPr>
        <w:t xml:space="preserve"> here</w:t>
      </w:r>
      <w:r w:rsidRPr="00772CCD">
        <w:rPr>
          <w:sz w:val="18"/>
          <w:szCs w:val="18"/>
        </w:rPr>
        <w:t>.</w:t>
      </w:r>
      <w:r w:rsidRPr="00A834B4">
        <w:rPr>
          <w:sz w:val="18"/>
          <w:szCs w:val="18"/>
        </w:rPr>
        <w:t xml:space="preserve">  A material discount may lead to the reduction/withdrawal of S/EIS relief</w:t>
      </w:r>
      <w:r>
        <w:rPr>
          <w:sz w:val="18"/>
          <w:szCs w:val="18"/>
        </w:rPr>
        <w:t>,</w:t>
      </w:r>
      <w:r w:rsidRPr="00A834B4">
        <w:rPr>
          <w:sz w:val="18"/>
          <w:szCs w:val="18"/>
        </w:rPr>
        <w:t xml:space="preserve"> and </w:t>
      </w:r>
      <w:r>
        <w:rPr>
          <w:sz w:val="18"/>
          <w:szCs w:val="18"/>
        </w:rPr>
        <w:t xml:space="preserve">so for enhanced certainty </w:t>
      </w:r>
      <w:r w:rsidRPr="00A834B4">
        <w:rPr>
          <w:sz w:val="18"/>
          <w:szCs w:val="18"/>
        </w:rPr>
        <w:t>we</w:t>
      </w:r>
      <w:r>
        <w:rPr>
          <w:sz w:val="18"/>
          <w:szCs w:val="18"/>
        </w:rPr>
        <w:t xml:space="preserve"> would</w:t>
      </w:r>
      <w:r w:rsidRPr="00A834B4">
        <w:rPr>
          <w:sz w:val="18"/>
          <w:szCs w:val="18"/>
        </w:rPr>
        <w:t xml:space="preserve"> recommend </w:t>
      </w:r>
      <w:r>
        <w:rPr>
          <w:sz w:val="18"/>
          <w:szCs w:val="18"/>
        </w:rPr>
        <w:t xml:space="preserve">that </w:t>
      </w:r>
      <w:r w:rsidRPr="00A834B4">
        <w:rPr>
          <w:sz w:val="18"/>
          <w:szCs w:val="18"/>
        </w:rPr>
        <w:t xml:space="preserve">advance assurance is obtained </w:t>
      </w:r>
      <w:r>
        <w:rPr>
          <w:sz w:val="18"/>
          <w:szCs w:val="18"/>
        </w:rPr>
        <w:t xml:space="preserve">from HMRC </w:t>
      </w:r>
      <w:r w:rsidRPr="00A834B4">
        <w:rPr>
          <w:sz w:val="18"/>
          <w:szCs w:val="18"/>
        </w:rPr>
        <w:t>in respect of any proposed discount</w:t>
      </w:r>
      <w:r>
        <w:rPr>
          <w:sz w:val="18"/>
          <w:szCs w:val="18"/>
        </w:rPr>
        <w:t>.</w:t>
      </w:r>
    </w:p>
  </w:footnote>
  <w:footnote w:id="6">
    <w:p w14:paraId="40EECBAE" w14:textId="77777777" w:rsidR="003A7D77" w:rsidRDefault="003A7D77" w:rsidP="003A7D77">
      <w:pPr>
        <w:pStyle w:val="FootnoteText"/>
      </w:pPr>
      <w:r w:rsidRPr="00772CCD">
        <w:rPr>
          <w:rStyle w:val="FootnoteReference"/>
          <w:sz w:val="18"/>
          <w:szCs w:val="18"/>
        </w:rPr>
        <w:footnoteRef/>
      </w:r>
      <w:r w:rsidRPr="00772CCD">
        <w:rPr>
          <w:sz w:val="18"/>
          <w:szCs w:val="18"/>
        </w:rPr>
        <w:t xml:space="preserve"> </w:t>
      </w:r>
      <w:r>
        <w:rPr>
          <w:sz w:val="18"/>
          <w:szCs w:val="18"/>
        </w:rPr>
        <w:t>N</w:t>
      </w:r>
      <w:r w:rsidRPr="00772CCD">
        <w:rPr>
          <w:sz w:val="18"/>
          <w:szCs w:val="18"/>
        </w:rPr>
        <w:t xml:space="preserve">ote: </w:t>
      </w:r>
      <w:r>
        <w:rPr>
          <w:sz w:val="18"/>
          <w:szCs w:val="18"/>
        </w:rPr>
        <w:t>v</w:t>
      </w:r>
      <w:r w:rsidRPr="00772CCD">
        <w:rPr>
          <w:sz w:val="18"/>
          <w:szCs w:val="18"/>
        </w:rPr>
        <w:t>aluation of Company to be confirmed</w:t>
      </w:r>
      <w:r>
        <w:rPr>
          <w:sz w:val="18"/>
          <w:szCs w:val="18"/>
        </w:rPr>
        <w:t xml:space="preserve"> here in order to set  the maximum cap on the</w:t>
      </w:r>
      <w:r w:rsidRPr="00772CCD">
        <w:rPr>
          <w:sz w:val="18"/>
          <w:szCs w:val="18"/>
        </w:rPr>
        <w:t xml:space="preserve"> Subscription Price</w:t>
      </w:r>
      <w:r>
        <w:rPr>
          <w:sz w:val="18"/>
          <w:szCs w:val="18"/>
        </w:rPr>
        <w:t xml:space="preserve"> which would apply</w:t>
      </w:r>
      <w:r w:rsidRPr="00772CCD">
        <w:rPr>
          <w:sz w:val="18"/>
          <w:szCs w:val="18"/>
        </w:rPr>
        <w:t xml:space="preserve"> on conversion </w:t>
      </w:r>
      <w:r>
        <w:rPr>
          <w:sz w:val="18"/>
          <w:szCs w:val="18"/>
        </w:rPr>
        <w:t>in connection with</w:t>
      </w:r>
      <w:r w:rsidRPr="00772CCD">
        <w:rPr>
          <w:sz w:val="18"/>
          <w:szCs w:val="18"/>
        </w:rPr>
        <w:t xml:space="preserve"> a Financing Round.</w:t>
      </w:r>
      <w:r>
        <w:rPr>
          <w:sz w:val="18"/>
          <w:szCs w:val="18"/>
        </w:rPr>
        <w:t xml:space="preserve"> Note that an alternative approach here may be to simply refer to a set price per share (which could be the price at which investors would have received shares in this round, were it not for the ASAs). </w:t>
      </w:r>
    </w:p>
  </w:footnote>
  <w:footnote w:id="7">
    <w:p w14:paraId="24089CB1" w14:textId="77777777" w:rsidR="003A7D77" w:rsidRDefault="003A7D77" w:rsidP="003A7D77">
      <w:pPr>
        <w:pStyle w:val="FootnoteText"/>
      </w:pPr>
      <w:r w:rsidRPr="00772CCD">
        <w:rPr>
          <w:rStyle w:val="FootnoteReference"/>
          <w:sz w:val="18"/>
          <w:szCs w:val="18"/>
        </w:rPr>
        <w:footnoteRef/>
      </w:r>
      <w:r w:rsidRPr="00772CCD">
        <w:rPr>
          <w:sz w:val="18"/>
          <w:szCs w:val="18"/>
        </w:rPr>
        <w:t xml:space="preserve"> </w:t>
      </w:r>
      <w:r>
        <w:rPr>
          <w:sz w:val="18"/>
          <w:szCs w:val="18"/>
        </w:rPr>
        <w:t>N</w:t>
      </w:r>
      <w:r w:rsidRPr="00772CCD">
        <w:rPr>
          <w:sz w:val="18"/>
          <w:szCs w:val="18"/>
        </w:rPr>
        <w:t xml:space="preserve">ote: </w:t>
      </w:r>
      <w:r>
        <w:rPr>
          <w:sz w:val="18"/>
          <w:szCs w:val="18"/>
        </w:rPr>
        <w:t>as above, v</w:t>
      </w:r>
      <w:r w:rsidRPr="00772CCD">
        <w:rPr>
          <w:sz w:val="18"/>
          <w:szCs w:val="18"/>
        </w:rPr>
        <w:t xml:space="preserve">aluation of Company to be confirmed </w:t>
      </w:r>
      <w:r>
        <w:rPr>
          <w:sz w:val="18"/>
          <w:szCs w:val="18"/>
        </w:rPr>
        <w:t>here to determine the applicable</w:t>
      </w:r>
      <w:r w:rsidRPr="00772CCD">
        <w:rPr>
          <w:sz w:val="18"/>
          <w:szCs w:val="18"/>
        </w:rPr>
        <w:t xml:space="preserve"> Subscription Price </w:t>
      </w:r>
      <w:r>
        <w:rPr>
          <w:sz w:val="18"/>
          <w:szCs w:val="18"/>
        </w:rPr>
        <w:t>for</w:t>
      </w:r>
      <w:r w:rsidRPr="00772CCD">
        <w:rPr>
          <w:sz w:val="18"/>
          <w:szCs w:val="18"/>
        </w:rPr>
        <w:t xml:space="preserve"> conversion </w:t>
      </w:r>
      <w:r>
        <w:rPr>
          <w:sz w:val="18"/>
          <w:szCs w:val="18"/>
        </w:rPr>
        <w:t>as a result of</w:t>
      </w:r>
      <w:r w:rsidRPr="00772CCD">
        <w:rPr>
          <w:sz w:val="18"/>
          <w:szCs w:val="18"/>
        </w:rPr>
        <w:t xml:space="preserve"> </w:t>
      </w:r>
      <w:proofErr w:type="spellStart"/>
      <w:r w:rsidRPr="00772CCD">
        <w:rPr>
          <w:sz w:val="18"/>
          <w:szCs w:val="18"/>
        </w:rPr>
        <w:t>i</w:t>
      </w:r>
      <w:proofErr w:type="spellEnd"/>
      <w:r w:rsidRPr="00772CCD">
        <w:rPr>
          <w:sz w:val="18"/>
          <w:szCs w:val="18"/>
        </w:rPr>
        <w:t xml:space="preserve">) an Exit, ii) the Longstop Date or iii) an Insolvency </w:t>
      </w:r>
      <w:r>
        <w:rPr>
          <w:sz w:val="18"/>
          <w:szCs w:val="18"/>
        </w:rPr>
        <w:t>e</w:t>
      </w:r>
      <w:r w:rsidRPr="00772CCD">
        <w:rPr>
          <w:sz w:val="18"/>
          <w:szCs w:val="18"/>
        </w:rPr>
        <w:t>vent.</w:t>
      </w:r>
      <w:r>
        <w:rPr>
          <w:sz w:val="18"/>
          <w:szCs w:val="18"/>
        </w:rPr>
        <w:t xml:space="preserve"> See footnote above re set price per share as an alternative. </w:t>
      </w:r>
    </w:p>
  </w:footnote>
  <w:footnote w:id="8">
    <w:p w14:paraId="796FFAE7" w14:textId="77777777" w:rsidR="003A7D77" w:rsidRDefault="003A7D77" w:rsidP="003A7D77">
      <w:pPr>
        <w:pStyle w:val="FootnoteText"/>
      </w:pPr>
      <w:r w:rsidRPr="0059621C">
        <w:rPr>
          <w:rStyle w:val="FootnoteReference"/>
          <w:sz w:val="18"/>
          <w:szCs w:val="18"/>
        </w:rPr>
        <w:footnoteRef/>
      </w:r>
      <w:r w:rsidRPr="0059621C">
        <w:rPr>
          <w:sz w:val="18"/>
          <w:szCs w:val="18"/>
        </w:rPr>
        <w:t xml:space="preserve"> </w:t>
      </w:r>
      <w:r>
        <w:rPr>
          <w:sz w:val="18"/>
          <w:szCs w:val="18"/>
        </w:rPr>
        <w:t>N</w:t>
      </w:r>
      <w:r w:rsidRPr="0059621C">
        <w:rPr>
          <w:sz w:val="18"/>
          <w:szCs w:val="18"/>
        </w:rPr>
        <w:t xml:space="preserve">ote: This provides that if the advance subscription converts on a </w:t>
      </w:r>
      <w:r>
        <w:rPr>
          <w:sz w:val="18"/>
          <w:szCs w:val="18"/>
        </w:rPr>
        <w:t>F</w:t>
      </w:r>
      <w:r w:rsidRPr="0059621C">
        <w:rPr>
          <w:sz w:val="18"/>
          <w:szCs w:val="18"/>
        </w:rPr>
        <w:t xml:space="preserve">inancing </w:t>
      </w:r>
      <w:r>
        <w:rPr>
          <w:sz w:val="18"/>
          <w:szCs w:val="18"/>
        </w:rPr>
        <w:t>R</w:t>
      </w:r>
      <w:r w:rsidRPr="0059621C">
        <w:rPr>
          <w:sz w:val="18"/>
          <w:szCs w:val="18"/>
        </w:rPr>
        <w:t xml:space="preserve">ound then the subscriber shall receive either </w:t>
      </w:r>
      <w:proofErr w:type="spellStart"/>
      <w:r w:rsidRPr="0059621C">
        <w:rPr>
          <w:sz w:val="18"/>
          <w:szCs w:val="18"/>
        </w:rPr>
        <w:t>i</w:t>
      </w:r>
      <w:proofErr w:type="spellEnd"/>
      <w:r w:rsidRPr="0059621C">
        <w:rPr>
          <w:sz w:val="18"/>
          <w:szCs w:val="18"/>
        </w:rPr>
        <w:t xml:space="preserve">) the Next Round Shares or ii) Ordinary Shares </w:t>
      </w:r>
      <w:r>
        <w:rPr>
          <w:sz w:val="18"/>
          <w:szCs w:val="18"/>
        </w:rPr>
        <w:t xml:space="preserve">(which they should opt for </w:t>
      </w:r>
      <w:r w:rsidRPr="0059621C">
        <w:rPr>
          <w:sz w:val="18"/>
          <w:szCs w:val="18"/>
        </w:rPr>
        <w:t>if they wish to seek SEIS/EIS relief</w:t>
      </w:r>
      <w:r>
        <w:rPr>
          <w:sz w:val="18"/>
          <w:szCs w:val="18"/>
        </w:rPr>
        <w:t>)</w:t>
      </w:r>
      <w:r w:rsidRPr="0059621C">
        <w:rPr>
          <w:sz w:val="18"/>
          <w:szCs w:val="18"/>
        </w:rPr>
        <w:t>.</w:t>
      </w:r>
      <w:r>
        <w:rPr>
          <w:sz w:val="18"/>
          <w:szCs w:val="18"/>
        </w:rPr>
        <w:t xml:space="preserve"> Next Round Shares are the most senior shares allotted on the Financing Round.</w:t>
      </w:r>
      <w:r w:rsidRPr="0059621C">
        <w:rPr>
          <w:sz w:val="18"/>
          <w:szCs w:val="18"/>
        </w:rPr>
        <w:t xml:space="preserve"> If the advance subscription converts on </w:t>
      </w:r>
      <w:proofErr w:type="spellStart"/>
      <w:r w:rsidRPr="0059621C">
        <w:rPr>
          <w:sz w:val="18"/>
          <w:szCs w:val="18"/>
        </w:rPr>
        <w:t>i</w:t>
      </w:r>
      <w:proofErr w:type="spellEnd"/>
      <w:r w:rsidRPr="0059621C">
        <w:rPr>
          <w:sz w:val="18"/>
          <w:szCs w:val="18"/>
        </w:rPr>
        <w:t xml:space="preserve">) an Exit, ii) the Longstop Date or iii) an Insolvency </w:t>
      </w:r>
      <w:r>
        <w:rPr>
          <w:sz w:val="18"/>
          <w:szCs w:val="18"/>
        </w:rPr>
        <w:t>e</w:t>
      </w:r>
      <w:r w:rsidRPr="0059621C">
        <w:rPr>
          <w:sz w:val="18"/>
          <w:szCs w:val="18"/>
        </w:rPr>
        <w:t xml:space="preserve">vent, then the subscriber shall receive </w:t>
      </w:r>
      <w:r>
        <w:rPr>
          <w:sz w:val="18"/>
          <w:szCs w:val="18"/>
        </w:rPr>
        <w:t>simply Ordinary Shares.</w:t>
      </w:r>
    </w:p>
  </w:footnote>
  <w:footnote w:id="9">
    <w:p w14:paraId="57F9707E" w14:textId="77777777" w:rsidR="003A7D77" w:rsidRDefault="003A7D77" w:rsidP="003A7D77">
      <w:pPr>
        <w:pStyle w:val="FootnoteText"/>
      </w:pPr>
      <w:r w:rsidRPr="0059621C">
        <w:rPr>
          <w:rStyle w:val="FootnoteReference"/>
          <w:sz w:val="18"/>
          <w:szCs w:val="18"/>
        </w:rPr>
        <w:footnoteRef/>
      </w:r>
      <w:r w:rsidRPr="0059621C">
        <w:rPr>
          <w:sz w:val="18"/>
          <w:szCs w:val="18"/>
        </w:rPr>
        <w:t xml:space="preserve"> </w:t>
      </w:r>
      <w:r>
        <w:rPr>
          <w:sz w:val="18"/>
          <w:szCs w:val="18"/>
        </w:rPr>
        <w:t>N</w:t>
      </w:r>
      <w:r w:rsidRPr="0059621C">
        <w:rPr>
          <w:sz w:val="18"/>
          <w:szCs w:val="18"/>
        </w:rPr>
        <w:t xml:space="preserve">ote: </w:t>
      </w:r>
      <w:r>
        <w:rPr>
          <w:sz w:val="18"/>
          <w:szCs w:val="18"/>
        </w:rPr>
        <w:t>relevant section to</w:t>
      </w:r>
      <w:r w:rsidRPr="0059621C">
        <w:rPr>
          <w:sz w:val="18"/>
          <w:szCs w:val="18"/>
        </w:rPr>
        <w:t xml:space="preserve"> be deleted</w:t>
      </w:r>
      <w:r>
        <w:rPr>
          <w:sz w:val="18"/>
          <w:szCs w:val="18"/>
        </w:rPr>
        <w:t xml:space="preserve"> as appropriate</w:t>
      </w:r>
      <w:r w:rsidRPr="0059621C">
        <w:rPr>
          <w:sz w:val="18"/>
          <w:szCs w:val="18"/>
        </w:rPr>
        <w:t xml:space="preserve"> depending on residency of subscriber</w:t>
      </w:r>
      <w:r>
        <w:rPr>
          <w:sz w:val="18"/>
          <w:szCs w:val="18"/>
        </w:rPr>
        <w:t>.</w:t>
      </w:r>
    </w:p>
  </w:footnote>
  <w:footnote w:id="10">
    <w:p w14:paraId="175D864A" w14:textId="77777777" w:rsidR="003A7D77" w:rsidRPr="00E335F3" w:rsidRDefault="003A7D77" w:rsidP="003A7D77">
      <w:pPr>
        <w:pStyle w:val="FootnoteText"/>
        <w:rPr>
          <w:sz w:val="18"/>
          <w:szCs w:val="18"/>
        </w:rPr>
      </w:pPr>
      <w:r w:rsidRPr="00E335F3">
        <w:rPr>
          <w:rStyle w:val="FootnoteReference"/>
          <w:sz w:val="18"/>
          <w:szCs w:val="18"/>
        </w:rPr>
        <w:footnoteRef/>
      </w:r>
      <w:r w:rsidRPr="00E335F3">
        <w:rPr>
          <w:sz w:val="18"/>
          <w:szCs w:val="18"/>
        </w:rPr>
        <w:t xml:space="preserve"> Note: HMRC guidance states an ASA which is ultimately intended to benefit from SEIS / EIS relief cannot be varied, cancelled or assigned. If for any reason the parties wished to change or cancel the terms of the ASA in future we would recommend that you speak with us in the first instance.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9FA8" w14:textId="31195FEF" w:rsidR="003A7D77" w:rsidRDefault="00B640CB">
    <w:pPr>
      <w:pStyle w:val="Header"/>
    </w:pPr>
    <w:r>
      <w:rPr>
        <w:noProof/>
        <w:color w:val="006380"/>
        <w:sz w:val="36"/>
      </w:rPr>
      <w:drawing>
        <wp:anchor distT="0" distB="0" distL="114300" distR="114300" simplePos="0" relativeHeight="251658752" behindDoc="1" locked="0" layoutInCell="1" allowOverlap="1" wp14:anchorId="3582184F" wp14:editId="35EA9597">
          <wp:simplePos x="0" y="0"/>
          <wp:positionH relativeFrom="margin">
            <wp:posOffset>4474845</wp:posOffset>
          </wp:positionH>
          <wp:positionV relativeFrom="paragraph">
            <wp:posOffset>-107315</wp:posOffset>
          </wp:positionV>
          <wp:extent cx="1569720" cy="338502"/>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D8C6" w14:textId="77777777" w:rsidR="003A7D77" w:rsidRDefault="003A7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2855" w14:textId="77777777" w:rsidR="003A7D77" w:rsidRPr="004B3F7F" w:rsidRDefault="003A7D77" w:rsidP="00B640CB">
    <w:pPr>
      <w:pStyle w:val="Header"/>
      <w:jc w:val="right"/>
      <w:rPr>
        <w:b/>
        <w:i/>
        <w:color w:val="1F497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4FFE" w14:textId="77777777" w:rsidR="003A7D77" w:rsidRDefault="003A7D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3A2B" w14:textId="1531C63C" w:rsidR="001E6B9B" w:rsidRDefault="001E6B9B">
    <w:pPr>
      <w:pStyle w:val="Header"/>
    </w:pPr>
    <w:r>
      <w:rPr>
        <w:noProof/>
        <w:color w:val="006380"/>
        <w:sz w:val="36"/>
      </w:rPr>
      <w:drawing>
        <wp:anchor distT="0" distB="0" distL="114300" distR="114300" simplePos="0" relativeHeight="251659264" behindDoc="1" locked="1" layoutInCell="1" allowOverlap="1" wp14:anchorId="318EA139" wp14:editId="27E0489B">
          <wp:simplePos x="0" y="0"/>
          <wp:positionH relativeFrom="column">
            <wp:posOffset>3819525</wp:posOffset>
          </wp:positionH>
          <wp:positionV relativeFrom="page">
            <wp:posOffset>133350</wp:posOffset>
          </wp:positionV>
          <wp:extent cx="2696210" cy="1087120"/>
          <wp:effectExtent l="0" t="0" r="0" b="0"/>
          <wp:wrapTight wrapText="bothSides">
            <wp:wrapPolygon edited="0">
              <wp:start x="10073" y="5299"/>
              <wp:lineTo x="5952" y="6435"/>
              <wp:lineTo x="2137" y="9084"/>
              <wp:lineTo x="2137" y="12491"/>
              <wp:lineTo x="3052" y="15140"/>
              <wp:lineTo x="3205" y="15897"/>
              <wp:lineTo x="18619" y="15897"/>
              <wp:lineTo x="19382" y="12869"/>
              <wp:lineTo x="19382" y="7949"/>
              <wp:lineTo x="16788" y="6056"/>
              <wp:lineTo x="11141" y="5299"/>
              <wp:lineTo x="10073" y="5299"/>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fords_Logo_Grey_RGB_15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210" cy="108712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1F3E" w14:textId="515DCB54" w:rsidR="003A7D77" w:rsidRDefault="003A7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1914"/>
    <w:multiLevelType w:val="multilevel"/>
    <w:tmpl w:val="3AEA6CDE"/>
    <w:lvl w:ilvl="0">
      <w:start w:val="1"/>
      <w:numFmt w:val="decimal"/>
      <w:pStyle w:val="LNMainL1"/>
      <w:lvlText w:val="%1."/>
      <w:lvlJc w:val="left"/>
      <w:pPr>
        <w:tabs>
          <w:tab w:val="num" w:pos="720"/>
        </w:tabs>
        <w:ind w:left="720" w:hanging="720"/>
      </w:pPr>
      <w:rPr>
        <w:rFonts w:ascii="Arial" w:hAnsi="Arial" w:cs="Arial" w:hint="default"/>
        <w:b/>
        <w:i w:val="0"/>
        <w:caps/>
        <w:smallCaps w:val="0"/>
        <w:color w:val="auto"/>
        <w:sz w:val="20"/>
        <w:u w:val="none"/>
      </w:rPr>
    </w:lvl>
    <w:lvl w:ilvl="1">
      <w:start w:val="1"/>
      <w:numFmt w:val="decimal"/>
      <w:pStyle w:val="LNMainL2"/>
      <w:lvlText w:val="%1.%2"/>
      <w:lvlJc w:val="left"/>
      <w:pPr>
        <w:tabs>
          <w:tab w:val="num" w:pos="720"/>
        </w:tabs>
        <w:ind w:left="720" w:hanging="720"/>
      </w:pPr>
      <w:rPr>
        <w:rFonts w:ascii="Arial" w:hAnsi="Arial" w:cs="Arial" w:hint="default"/>
        <w:b w:val="0"/>
        <w:i w:val="0"/>
        <w:caps w:val="0"/>
        <w:color w:val="auto"/>
        <w:sz w:val="20"/>
        <w:u w:val="none"/>
      </w:rPr>
    </w:lvl>
    <w:lvl w:ilvl="2">
      <w:start w:val="1"/>
      <w:numFmt w:val="lowerLetter"/>
      <w:pStyle w:val="LNMainL3"/>
      <w:lvlText w:val="(%3)"/>
      <w:lvlJc w:val="left"/>
      <w:pPr>
        <w:tabs>
          <w:tab w:val="num" w:pos="1440"/>
        </w:tabs>
        <w:ind w:left="1440" w:hanging="720"/>
      </w:pPr>
      <w:rPr>
        <w:rFonts w:ascii="Arial" w:hAnsi="Arial" w:cs="Arial" w:hint="default"/>
        <w:b w:val="0"/>
        <w:i w:val="0"/>
        <w:caps w:val="0"/>
        <w:color w:val="auto"/>
        <w:sz w:val="20"/>
        <w:u w:val="none"/>
      </w:rPr>
    </w:lvl>
    <w:lvl w:ilvl="3">
      <w:start w:val="1"/>
      <w:numFmt w:val="lowerRoman"/>
      <w:pStyle w:val="LNMainL4"/>
      <w:lvlText w:val="(%4)"/>
      <w:lvlJc w:val="left"/>
      <w:pPr>
        <w:tabs>
          <w:tab w:val="num" w:pos="2160"/>
        </w:tabs>
        <w:ind w:left="2160" w:hanging="720"/>
      </w:pPr>
      <w:rPr>
        <w:rFonts w:ascii="Arial" w:hAnsi="Arial" w:cs="Arial" w:hint="default"/>
        <w:b w:val="0"/>
        <w:i w:val="0"/>
        <w:caps w:val="0"/>
        <w:color w:val="auto"/>
        <w:sz w:val="20"/>
        <w:u w:val="none"/>
      </w:rPr>
    </w:lvl>
    <w:lvl w:ilvl="4">
      <w:start w:val="1"/>
      <w:numFmt w:val="upperLetter"/>
      <w:pStyle w:val="LNMainL5"/>
      <w:lvlText w:val="(%5)"/>
      <w:lvlJc w:val="left"/>
      <w:pPr>
        <w:tabs>
          <w:tab w:val="num" w:pos="2880"/>
        </w:tabs>
        <w:ind w:left="2880" w:hanging="720"/>
      </w:pPr>
      <w:rPr>
        <w:rFonts w:ascii="Arial" w:hAnsi="Arial" w:cs="Arial" w:hint="default"/>
        <w:b w:val="0"/>
        <w:i w:val="0"/>
        <w:caps w:val="0"/>
        <w:color w:val="auto"/>
        <w:sz w:val="20"/>
        <w:u w:val="none"/>
      </w:rPr>
    </w:lvl>
    <w:lvl w:ilvl="5">
      <w:start w:val="1"/>
      <w:numFmt w:val="decimal"/>
      <w:pStyle w:val="LNMainL6"/>
      <w:lvlText w:val="(%6)"/>
      <w:lvlJc w:val="left"/>
      <w:pPr>
        <w:tabs>
          <w:tab w:val="num" w:pos="3600"/>
        </w:tabs>
        <w:ind w:left="3600" w:hanging="720"/>
      </w:pPr>
      <w:rPr>
        <w:rFonts w:ascii="Arial" w:hAnsi="Arial" w:cs="Arial" w:hint="default"/>
        <w:b w:val="0"/>
        <w:i w:val="0"/>
        <w:caps w:val="0"/>
        <w:color w:val="auto"/>
        <w:sz w:val="20"/>
        <w:u w:val="none"/>
      </w:rPr>
    </w:lvl>
    <w:lvl w:ilvl="6">
      <w:start w:val="1"/>
      <w:numFmt w:val="decimal"/>
      <w:pStyle w:val="LNMainL7"/>
      <w:lvlText w:val="%7."/>
      <w:lvlJc w:val="left"/>
      <w:pPr>
        <w:tabs>
          <w:tab w:val="num" w:pos="720"/>
        </w:tabs>
        <w:ind w:left="720" w:hanging="720"/>
      </w:pPr>
      <w:rPr>
        <w:rFonts w:ascii="Arial" w:hAnsi="Arial" w:cs="Arial" w:hint="default"/>
        <w:b w:val="0"/>
        <w:i w:val="0"/>
        <w:caps w:val="0"/>
        <w:color w:val="auto"/>
        <w:sz w:val="20"/>
        <w:u w:val="none"/>
      </w:rPr>
    </w:lvl>
    <w:lvl w:ilvl="7">
      <w:start w:val="1"/>
      <w:numFmt w:val="decimal"/>
      <w:pStyle w:val="LNMainL8"/>
      <w:lvlText w:val="%8."/>
      <w:lvlJc w:val="left"/>
      <w:pPr>
        <w:tabs>
          <w:tab w:val="num" w:pos="720"/>
        </w:tabs>
        <w:ind w:left="720" w:hanging="720"/>
      </w:pPr>
      <w:rPr>
        <w:rFonts w:hint="default"/>
        <w:b w:val="0"/>
        <w:i w:val="0"/>
        <w:caps w:val="0"/>
        <w:color w:val="auto"/>
        <w:u w:val="none"/>
      </w:rPr>
    </w:lvl>
    <w:lvl w:ilvl="8">
      <w:start w:val="1"/>
      <w:numFmt w:val="decimal"/>
      <w:pStyle w:val="LNMainL9"/>
      <w:lvlText w:val="%9."/>
      <w:lvlJc w:val="left"/>
      <w:pPr>
        <w:tabs>
          <w:tab w:val="num" w:pos="720"/>
        </w:tabs>
        <w:ind w:left="720" w:hanging="720"/>
      </w:pPr>
      <w:rPr>
        <w:rFonts w:ascii="Arial" w:hAnsi="Arial" w:cs="Arial" w:hint="default"/>
        <w:b w:val="0"/>
        <w:i w:val="0"/>
        <w:caps w:val="0"/>
        <w:color w:val="auto"/>
        <w:sz w:val="20"/>
        <w:u w:val="none"/>
      </w:rPr>
    </w:lvl>
  </w:abstractNum>
  <w:abstractNum w:abstractNumId="1" w15:restartNumberingAfterBreak="0">
    <w:nsid w:val="5CB96E58"/>
    <w:multiLevelType w:val="hybridMultilevel"/>
    <w:tmpl w:val="E4F0846C"/>
    <w:lvl w:ilvl="0" w:tplc="FFF608B2">
      <w:start w:val="1"/>
      <w:numFmt w:val="lowerRoman"/>
      <w:lvlText w:val="(%1)"/>
      <w:lvlJc w:val="left"/>
      <w:pPr>
        <w:ind w:left="2160" w:hanging="720"/>
      </w:pPr>
      <w:rPr>
        <w:rFonts w:hint="default"/>
      </w:rPr>
    </w:lvl>
    <w:lvl w:ilvl="1" w:tplc="DA5CBA9A" w:tentative="1">
      <w:start w:val="1"/>
      <w:numFmt w:val="lowerLetter"/>
      <w:lvlText w:val="%2."/>
      <w:lvlJc w:val="left"/>
      <w:pPr>
        <w:ind w:left="2520" w:hanging="360"/>
      </w:pPr>
    </w:lvl>
    <w:lvl w:ilvl="2" w:tplc="245A0406" w:tentative="1">
      <w:start w:val="1"/>
      <w:numFmt w:val="lowerRoman"/>
      <w:lvlText w:val="%3."/>
      <w:lvlJc w:val="right"/>
      <w:pPr>
        <w:ind w:left="3240" w:hanging="180"/>
      </w:pPr>
    </w:lvl>
    <w:lvl w:ilvl="3" w:tplc="9BB299C4" w:tentative="1">
      <w:start w:val="1"/>
      <w:numFmt w:val="decimal"/>
      <w:lvlText w:val="%4."/>
      <w:lvlJc w:val="left"/>
      <w:pPr>
        <w:ind w:left="3960" w:hanging="360"/>
      </w:pPr>
    </w:lvl>
    <w:lvl w:ilvl="4" w:tplc="916A29FE" w:tentative="1">
      <w:start w:val="1"/>
      <w:numFmt w:val="lowerLetter"/>
      <w:lvlText w:val="%5."/>
      <w:lvlJc w:val="left"/>
      <w:pPr>
        <w:ind w:left="4680" w:hanging="360"/>
      </w:pPr>
    </w:lvl>
    <w:lvl w:ilvl="5" w:tplc="683EA320" w:tentative="1">
      <w:start w:val="1"/>
      <w:numFmt w:val="lowerRoman"/>
      <w:lvlText w:val="%6."/>
      <w:lvlJc w:val="right"/>
      <w:pPr>
        <w:ind w:left="5400" w:hanging="180"/>
      </w:pPr>
    </w:lvl>
    <w:lvl w:ilvl="6" w:tplc="96805B52" w:tentative="1">
      <w:start w:val="1"/>
      <w:numFmt w:val="decimal"/>
      <w:lvlText w:val="%7."/>
      <w:lvlJc w:val="left"/>
      <w:pPr>
        <w:ind w:left="6120" w:hanging="360"/>
      </w:pPr>
    </w:lvl>
    <w:lvl w:ilvl="7" w:tplc="AD9A9D32" w:tentative="1">
      <w:start w:val="1"/>
      <w:numFmt w:val="lowerLetter"/>
      <w:lvlText w:val="%8."/>
      <w:lvlJc w:val="left"/>
      <w:pPr>
        <w:ind w:left="6840" w:hanging="360"/>
      </w:pPr>
    </w:lvl>
    <w:lvl w:ilvl="8" w:tplc="25048128" w:tentative="1">
      <w:start w:val="1"/>
      <w:numFmt w:val="lowerRoman"/>
      <w:lvlText w:val="%9."/>
      <w:lvlJc w:val="right"/>
      <w:pPr>
        <w:ind w:left="7560" w:hanging="180"/>
      </w:pPr>
    </w:lvl>
  </w:abstractNum>
  <w:abstractNum w:abstractNumId="2" w15:restartNumberingAfterBreak="0">
    <w:nsid w:val="7BA95E4A"/>
    <w:multiLevelType w:val="hybridMultilevel"/>
    <w:tmpl w:val="37D2CCAC"/>
    <w:lvl w:ilvl="0" w:tplc="7F88E4DC">
      <w:start w:val="1"/>
      <w:numFmt w:val="decimal"/>
      <w:lvlText w:val="(%1)"/>
      <w:lvlJc w:val="left"/>
      <w:pPr>
        <w:ind w:left="720" w:hanging="360"/>
      </w:pPr>
      <w:rPr>
        <w:rFonts w:hint="default"/>
      </w:rPr>
    </w:lvl>
    <w:lvl w:ilvl="1" w:tplc="5060D75C" w:tentative="1">
      <w:start w:val="1"/>
      <w:numFmt w:val="lowerLetter"/>
      <w:lvlText w:val="%2."/>
      <w:lvlJc w:val="left"/>
      <w:pPr>
        <w:ind w:left="1440" w:hanging="360"/>
      </w:pPr>
    </w:lvl>
    <w:lvl w:ilvl="2" w:tplc="6C0C6840" w:tentative="1">
      <w:start w:val="1"/>
      <w:numFmt w:val="lowerRoman"/>
      <w:lvlText w:val="%3."/>
      <w:lvlJc w:val="right"/>
      <w:pPr>
        <w:ind w:left="2160" w:hanging="180"/>
      </w:pPr>
    </w:lvl>
    <w:lvl w:ilvl="3" w:tplc="BE90109C" w:tentative="1">
      <w:start w:val="1"/>
      <w:numFmt w:val="decimal"/>
      <w:lvlText w:val="%4."/>
      <w:lvlJc w:val="left"/>
      <w:pPr>
        <w:ind w:left="2880" w:hanging="360"/>
      </w:pPr>
    </w:lvl>
    <w:lvl w:ilvl="4" w:tplc="9A0C50F8" w:tentative="1">
      <w:start w:val="1"/>
      <w:numFmt w:val="lowerLetter"/>
      <w:lvlText w:val="%5."/>
      <w:lvlJc w:val="left"/>
      <w:pPr>
        <w:ind w:left="3600" w:hanging="360"/>
      </w:pPr>
    </w:lvl>
    <w:lvl w:ilvl="5" w:tplc="A5DC63B0" w:tentative="1">
      <w:start w:val="1"/>
      <w:numFmt w:val="lowerRoman"/>
      <w:lvlText w:val="%6."/>
      <w:lvlJc w:val="right"/>
      <w:pPr>
        <w:ind w:left="4320" w:hanging="180"/>
      </w:pPr>
    </w:lvl>
    <w:lvl w:ilvl="6" w:tplc="CCD0D64A" w:tentative="1">
      <w:start w:val="1"/>
      <w:numFmt w:val="decimal"/>
      <w:lvlText w:val="%7."/>
      <w:lvlJc w:val="left"/>
      <w:pPr>
        <w:ind w:left="5040" w:hanging="360"/>
      </w:pPr>
    </w:lvl>
    <w:lvl w:ilvl="7" w:tplc="8CF66264" w:tentative="1">
      <w:start w:val="1"/>
      <w:numFmt w:val="lowerLetter"/>
      <w:lvlText w:val="%8."/>
      <w:lvlJc w:val="left"/>
      <w:pPr>
        <w:ind w:left="5760" w:hanging="360"/>
      </w:pPr>
    </w:lvl>
    <w:lvl w:ilvl="8" w:tplc="076E81AE" w:tentative="1">
      <w:start w:val="1"/>
      <w:numFmt w:val="lowerRoman"/>
      <w:lvlText w:val="%9."/>
      <w:lvlJc w:val="right"/>
      <w:pPr>
        <w:ind w:left="6480" w:hanging="180"/>
      </w:pPr>
    </w:lvl>
  </w:abstractNum>
  <w:num w:numId="1" w16cid:durableId="1926762190">
    <w:abstractNumId w:val="0"/>
  </w:num>
  <w:num w:numId="2" w16cid:durableId="14226066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4884923">
    <w:abstractNumId w:val="2"/>
  </w:num>
  <w:num w:numId="4" w16cid:durableId="869805502">
    <w:abstractNumId w:val="1"/>
  </w:num>
  <w:num w:numId="5" w16cid:durableId="1375036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5519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7536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A8A"/>
    <w:rsid w:val="00067A59"/>
    <w:rsid w:val="000F27C1"/>
    <w:rsid w:val="0012669E"/>
    <w:rsid w:val="001608F0"/>
    <w:rsid w:val="001A485E"/>
    <w:rsid w:val="001E6B9B"/>
    <w:rsid w:val="0031773B"/>
    <w:rsid w:val="00375DFB"/>
    <w:rsid w:val="003A0A8A"/>
    <w:rsid w:val="003A7D77"/>
    <w:rsid w:val="00417980"/>
    <w:rsid w:val="0043484E"/>
    <w:rsid w:val="00480DC6"/>
    <w:rsid w:val="00582B37"/>
    <w:rsid w:val="006714BE"/>
    <w:rsid w:val="006B3464"/>
    <w:rsid w:val="00735646"/>
    <w:rsid w:val="00751B7F"/>
    <w:rsid w:val="00965B29"/>
    <w:rsid w:val="0097073B"/>
    <w:rsid w:val="009F224E"/>
    <w:rsid w:val="00AB31F1"/>
    <w:rsid w:val="00B640CB"/>
    <w:rsid w:val="00C06EAC"/>
    <w:rsid w:val="00C504A3"/>
    <w:rsid w:val="00D1446F"/>
    <w:rsid w:val="00D53751"/>
    <w:rsid w:val="00E93DA4"/>
    <w:rsid w:val="00EA1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9D29A"/>
  <w15:docId w15:val="{D5AEF0FE-D75B-4B7C-8D7A-BDFAA7440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E6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B9B"/>
  </w:style>
  <w:style w:type="paragraph" w:styleId="Footer">
    <w:name w:val="footer"/>
    <w:basedOn w:val="Normal"/>
    <w:link w:val="FooterChar"/>
    <w:unhideWhenUsed/>
    <w:qFormat/>
    <w:rsid w:val="001E6B9B"/>
    <w:pPr>
      <w:tabs>
        <w:tab w:val="center" w:pos="4513"/>
        <w:tab w:val="right" w:pos="9026"/>
      </w:tabs>
      <w:spacing w:after="0" w:line="240" w:lineRule="auto"/>
    </w:pPr>
  </w:style>
  <w:style w:type="character" w:customStyle="1" w:styleId="FooterChar">
    <w:name w:val="Footer Char"/>
    <w:basedOn w:val="DefaultParagraphFont"/>
    <w:link w:val="Footer"/>
    <w:rsid w:val="001E6B9B"/>
  </w:style>
  <w:style w:type="table" w:styleId="TableGrid">
    <w:name w:val="Table Grid"/>
    <w:basedOn w:val="TableNormal"/>
    <w:rsid w:val="003A7D77"/>
    <w:pPr>
      <w:spacing w:after="0" w:line="240" w:lineRule="auto"/>
      <w:jc w:val="both"/>
    </w:pPr>
    <w:rPr>
      <w:rFonts w:ascii="Arial" w:hAnsi="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A7D77"/>
  </w:style>
  <w:style w:type="paragraph" w:customStyle="1" w:styleId="O-BodyText">
    <w:name w:val="O-Body Text"/>
    <w:aliases w:val="S1"/>
    <w:basedOn w:val="Normal"/>
    <w:rsid w:val="003A7D77"/>
    <w:pPr>
      <w:spacing w:after="120" w:line="300" w:lineRule="auto"/>
      <w:jc w:val="both"/>
    </w:pPr>
    <w:rPr>
      <w:rFonts w:ascii="Arial" w:hAnsi="Arial"/>
      <w:sz w:val="20"/>
      <w:szCs w:val="20"/>
      <w:lang w:eastAsia="en-GB"/>
    </w:rPr>
  </w:style>
  <w:style w:type="paragraph" w:customStyle="1" w:styleId="O-TitleLeftBold">
    <w:name w:val="O-Title Left Bold"/>
    <w:aliases w:val="S11"/>
    <w:basedOn w:val="Normal"/>
    <w:next w:val="Normal"/>
    <w:rsid w:val="003A7D77"/>
    <w:pPr>
      <w:keepNext/>
      <w:keepLines/>
      <w:spacing w:after="120" w:line="300" w:lineRule="auto"/>
      <w:jc w:val="both"/>
    </w:pPr>
    <w:rPr>
      <w:rFonts w:ascii="Arial" w:hAnsi="Arial"/>
      <w:b/>
      <w:sz w:val="20"/>
      <w:szCs w:val="20"/>
      <w:lang w:eastAsia="en-GB"/>
    </w:rPr>
  </w:style>
  <w:style w:type="paragraph" w:customStyle="1" w:styleId="LNMainL1">
    <w:name w:val="LNMain_L1"/>
    <w:basedOn w:val="Normal"/>
    <w:next w:val="LNMainL2"/>
    <w:rsid w:val="003A7D77"/>
    <w:pPr>
      <w:keepNext/>
      <w:numPr>
        <w:numId w:val="1"/>
      </w:numPr>
      <w:spacing w:after="120" w:line="300" w:lineRule="auto"/>
      <w:jc w:val="both"/>
      <w:outlineLvl w:val="0"/>
    </w:pPr>
    <w:rPr>
      <w:rFonts w:ascii="Arial" w:hAnsi="Arial" w:cs="Arial"/>
      <w:b/>
      <w:caps/>
      <w:sz w:val="20"/>
      <w:szCs w:val="20"/>
      <w:lang w:eastAsia="en-GB"/>
    </w:rPr>
  </w:style>
  <w:style w:type="paragraph" w:customStyle="1" w:styleId="LNMainL2">
    <w:name w:val="LNMain_L2"/>
    <w:basedOn w:val="LNMainL1"/>
    <w:rsid w:val="003A7D77"/>
    <w:pPr>
      <w:keepNext w:val="0"/>
      <w:numPr>
        <w:ilvl w:val="1"/>
      </w:numPr>
      <w:outlineLvl w:val="1"/>
    </w:pPr>
    <w:rPr>
      <w:b w:val="0"/>
      <w:caps w:val="0"/>
    </w:rPr>
  </w:style>
  <w:style w:type="paragraph" w:customStyle="1" w:styleId="LNMainL3">
    <w:name w:val="LNMain_L3"/>
    <w:basedOn w:val="LNMainL2"/>
    <w:rsid w:val="003A7D77"/>
    <w:pPr>
      <w:numPr>
        <w:ilvl w:val="2"/>
      </w:numPr>
      <w:outlineLvl w:val="2"/>
    </w:pPr>
  </w:style>
  <w:style w:type="paragraph" w:customStyle="1" w:styleId="LNMainL4">
    <w:name w:val="LNMain_L4"/>
    <w:basedOn w:val="LNMainL3"/>
    <w:rsid w:val="003A7D77"/>
    <w:pPr>
      <w:numPr>
        <w:ilvl w:val="3"/>
      </w:numPr>
      <w:outlineLvl w:val="3"/>
    </w:pPr>
  </w:style>
  <w:style w:type="paragraph" w:customStyle="1" w:styleId="LNMainL5">
    <w:name w:val="LNMain_L5"/>
    <w:basedOn w:val="LNMainL4"/>
    <w:rsid w:val="003A7D77"/>
    <w:pPr>
      <w:numPr>
        <w:ilvl w:val="4"/>
      </w:numPr>
      <w:outlineLvl w:val="4"/>
    </w:pPr>
  </w:style>
  <w:style w:type="paragraph" w:customStyle="1" w:styleId="LNMainL6">
    <w:name w:val="LNMain_L6"/>
    <w:basedOn w:val="LNMainL5"/>
    <w:rsid w:val="003A7D77"/>
    <w:pPr>
      <w:numPr>
        <w:ilvl w:val="5"/>
      </w:numPr>
      <w:outlineLvl w:val="5"/>
    </w:pPr>
  </w:style>
  <w:style w:type="paragraph" w:customStyle="1" w:styleId="LNMainL7">
    <w:name w:val="LNMain_L7"/>
    <w:basedOn w:val="LNMainL6"/>
    <w:rsid w:val="003A7D77"/>
    <w:pPr>
      <w:numPr>
        <w:ilvl w:val="6"/>
      </w:numPr>
      <w:outlineLvl w:val="6"/>
    </w:pPr>
  </w:style>
  <w:style w:type="paragraph" w:customStyle="1" w:styleId="LNMainL8">
    <w:name w:val="LNMain_L8"/>
    <w:basedOn w:val="LNMainL7"/>
    <w:rsid w:val="003A7D77"/>
    <w:pPr>
      <w:numPr>
        <w:ilvl w:val="7"/>
      </w:numPr>
      <w:outlineLvl w:val="7"/>
    </w:pPr>
  </w:style>
  <w:style w:type="paragraph" w:customStyle="1" w:styleId="LNMainL9">
    <w:name w:val="LNMain_L9"/>
    <w:basedOn w:val="LNMainL8"/>
    <w:rsid w:val="003A7D77"/>
    <w:pPr>
      <w:numPr>
        <w:ilvl w:val="8"/>
      </w:numPr>
      <w:jc w:val="left"/>
      <w:outlineLvl w:val="8"/>
    </w:pPr>
  </w:style>
  <w:style w:type="paragraph" w:customStyle="1" w:styleId="O-Bodyw5">
    <w:name w:val="O-Body w/.5"/>
    <w:basedOn w:val="Normal"/>
    <w:rsid w:val="003A7D77"/>
    <w:pPr>
      <w:spacing w:before="142" w:after="120" w:line="300" w:lineRule="auto"/>
      <w:ind w:left="720" w:hanging="720"/>
      <w:jc w:val="both"/>
    </w:pPr>
    <w:rPr>
      <w:rFonts w:ascii="Arial" w:hAnsi="Arial"/>
      <w:sz w:val="20"/>
      <w:lang w:eastAsia="en-GB"/>
    </w:rPr>
  </w:style>
  <w:style w:type="paragraph" w:styleId="FootnoteText">
    <w:name w:val="footnote text"/>
    <w:basedOn w:val="Normal"/>
    <w:link w:val="FootnoteTextChar"/>
    <w:uiPriority w:val="99"/>
    <w:unhideWhenUsed/>
    <w:rsid w:val="003A7D77"/>
    <w:pPr>
      <w:spacing w:after="0" w:line="240" w:lineRule="auto"/>
      <w:jc w:val="both"/>
    </w:pPr>
    <w:rPr>
      <w:rFonts w:ascii="Arial" w:hAnsi="Arial"/>
      <w:sz w:val="24"/>
      <w:szCs w:val="24"/>
      <w:lang w:eastAsia="en-GB"/>
    </w:rPr>
  </w:style>
  <w:style w:type="character" w:customStyle="1" w:styleId="FootnoteTextChar">
    <w:name w:val="Footnote Text Char"/>
    <w:basedOn w:val="DefaultParagraphFont"/>
    <w:link w:val="FootnoteText"/>
    <w:uiPriority w:val="99"/>
    <w:rsid w:val="003A7D77"/>
    <w:rPr>
      <w:rFonts w:ascii="Arial" w:hAnsi="Arial"/>
      <w:sz w:val="24"/>
      <w:szCs w:val="24"/>
      <w:lang w:eastAsia="en-GB"/>
    </w:rPr>
  </w:style>
  <w:style w:type="character" w:styleId="FootnoteReference">
    <w:name w:val="footnote reference"/>
    <w:basedOn w:val="DefaultParagraphFont"/>
    <w:uiPriority w:val="99"/>
    <w:unhideWhenUsed/>
    <w:rsid w:val="003A7D77"/>
    <w:rPr>
      <w:vertAlign w:val="superscript"/>
    </w:rPr>
  </w:style>
  <w:style w:type="paragraph" w:customStyle="1" w:styleId="Ash-FrontPage">
    <w:name w:val="Ash-Front Page"/>
    <w:basedOn w:val="Normal"/>
    <w:qFormat/>
    <w:rsid w:val="003A7D77"/>
    <w:pPr>
      <w:spacing w:before="120" w:after="120" w:line="300" w:lineRule="auto"/>
      <w:jc w:val="center"/>
    </w:pPr>
    <w:rPr>
      <w:rFonts w:ascii="Arial Bold" w:hAnsi="Arial Bold"/>
      <w:b/>
      <w:caps/>
      <w:lang w:eastAsia="en-GB"/>
    </w:rPr>
  </w:style>
  <w:style w:type="paragraph" w:styleId="Revision">
    <w:name w:val="Revision"/>
    <w:hidden/>
    <w:uiPriority w:val="99"/>
    <w:semiHidden/>
    <w:rsid w:val="009707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2534</Words>
  <Characters>14444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Ashfords LLP</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Preece, Scott</dc:creator>
  <cp:keywords/>
  <dc:description/>
  <cp:lastModifiedBy>McHaffie, Declan</cp:lastModifiedBy>
  <cp:revision>1</cp:revision>
  <dcterms:created xsi:type="dcterms:W3CDTF">2023-02-13T14:22:00Z</dcterms:created>
  <dcterms:modified xsi:type="dcterms:W3CDTF">2023-04-18T09:58:00Z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33607443.1</vt:lpwstr>
  </property>
</Properties>
</file>